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AB1CA2">
      <w:pPr>
        <w:rPr>
          <w:rFonts w:hint="eastAsia"/>
        </w:rPr>
      </w:pPr>
      <w:r>
        <w:rPr>
          <w:rFonts w:hint="eastAsia"/>
        </w:rPr>
        <w:t>Thanks. So far, we have discussed the model's architecture and its superior prediction error on the standard test set.</w:t>
      </w:r>
    </w:p>
    <w:p w14:paraId="5D7B138A">
      <w:pPr>
        <w:rPr>
          <w:rFonts w:hint="eastAsia"/>
        </w:rPr>
      </w:pPr>
      <w:r>
        <w:rPr>
          <w:rFonts w:hint="eastAsia"/>
        </w:rPr>
        <w:t>However, as Financial Mathematics students, we know that a low RMSE doesn't automatically translate to a robust investment strategy.</w:t>
      </w:r>
    </w:p>
    <w:p w14:paraId="1A248F26">
      <w:pPr>
        <w:rPr>
          <w:rFonts w:hint="eastAsia"/>
        </w:rPr>
      </w:pPr>
      <w:r>
        <w:rPr>
          <w:rFonts w:hint="eastAsia"/>
        </w:rPr>
        <w:t>In this section, I will address two critical questions that determine the real-world viability of our project:</w:t>
      </w:r>
    </w:p>
    <w:p w14:paraId="2970150A">
      <w:pPr>
        <w:rPr>
          <w:rFonts w:hint="eastAsia"/>
        </w:rPr>
      </w:pPr>
      <w:r>
        <w:rPr>
          <w:rFonts w:hint="eastAsia"/>
        </w:rPr>
        <w:t>First, is the model's performance stable across different time periods and asset classes?</w:t>
      </w:r>
    </w:p>
    <w:p w14:paraId="1CD204C0">
      <w:pPr>
        <w:rPr>
          <w:rFonts w:hint="eastAsia"/>
        </w:rPr>
      </w:pPr>
      <w:r>
        <w:rPr>
          <w:rFonts w:hint="eastAsia"/>
        </w:rPr>
        <w:t>Second, and perhaps more importantly, can it survive the friction of high-frequency execution?"</w:t>
      </w:r>
    </w:p>
    <w:p w14:paraId="001556EA">
      <w:pPr>
        <w:rPr>
          <w:rFonts w:hint="eastAsia"/>
        </w:rPr>
      </w:pPr>
    </w:p>
    <w:p w14:paraId="6F4F5DD9"/>
    <w:p w14:paraId="3BCEF5F2"/>
    <w:p w14:paraId="0DE5A61C"/>
    <w:p w14:paraId="24BFEA31">
      <w:pPr>
        <w:rPr>
          <w:rFonts w:hint="eastAsia"/>
        </w:rPr>
      </w:pPr>
      <w:r>
        <w:rPr>
          <w:rFonts w:hint="eastAsia"/>
        </w:rPr>
        <w:t>Let's start with stability. A common pitfall in financial AI is 'overfitting to a specific bull run'. To avoid this, we strictly implemented a Rolling Window Cross-Validation spanning from 2021 to 2025.</w:t>
      </w:r>
    </w:p>
    <w:p w14:paraId="7013CA61">
      <w:pPr>
        <w:rPr>
          <w:rFonts w:hint="eastAsia"/>
        </w:rPr>
      </w:pPr>
      <w:r>
        <w:rPr>
          <w:rFonts w:hint="eastAsia"/>
        </w:rPr>
        <w:t>Instead of one static test, we constantly retrained the model as time moved forward.</w:t>
      </w:r>
    </w:p>
    <w:p w14:paraId="2805B498">
      <w:pPr>
        <w:rPr>
          <w:rFonts w:hint="eastAsia"/>
        </w:rPr>
      </w:pPr>
      <w:r>
        <w:rPr>
          <w:rFonts w:hint="eastAsia"/>
        </w:rPr>
        <w:t>We can see the distribution of our Directional Accuracy approximates centered between 60% and 64%.</w:t>
      </w:r>
    </w:p>
    <w:p w14:paraId="5C1DF5F7">
      <w:pPr>
        <w:rPr>
          <w:rFonts w:hint="eastAsia"/>
        </w:rPr>
      </w:pPr>
      <w:r>
        <w:rPr>
          <w:rFonts w:hint="eastAsia"/>
        </w:rPr>
        <w:t>Crucially, almost every single fold outperforms the 50% random baseline. This proves that our model captures genuine market dynamics, not just lucky noise.</w:t>
      </w:r>
    </w:p>
    <w:p w14:paraId="4B660910">
      <w:pPr>
        <w:rPr>
          <w:rFonts w:hint="eastAsia"/>
        </w:rPr>
      </w:pPr>
    </w:p>
    <w:p w14:paraId="78871725"/>
    <w:p w14:paraId="589F9D46"/>
    <w:p w14:paraId="55851A56">
      <w:pPr>
        <w:rPr>
          <w:rFonts w:hint="eastAsia"/>
        </w:rPr>
      </w:pPr>
      <w:r>
        <w:rPr>
          <w:rFonts w:hint="eastAsia"/>
        </w:rPr>
        <w:t>But we went a step further. We asked: Can this architecture work on an asset it wasn't originally designed for? We tested it on Bitcoin.</w:t>
      </w:r>
    </w:p>
    <w:p w14:paraId="53B4B3DC">
      <w:pPr>
        <w:rPr>
          <w:rFonts w:hint="eastAsia"/>
        </w:rPr>
      </w:pPr>
      <w:r>
        <w:rPr>
          <w:rFonts w:hint="eastAsia"/>
        </w:rPr>
        <w:t>As you know, Bitcoin is highly volatile and behaves very differently from the CSI 300 index.</w:t>
      </w:r>
    </w:p>
    <w:p w14:paraId="308B82DB">
      <w:pPr>
        <w:rPr>
          <w:rFonts w:hint="eastAsia"/>
        </w:rPr>
      </w:pPr>
      <w:r>
        <w:rPr>
          <w:rFonts w:hint="eastAsia"/>
        </w:rPr>
        <w:t>The results in the table are revealing. During the test period, the baseline suffered a massive crash, losing 25.68% of its value.</w:t>
      </w:r>
    </w:p>
    <w:p w14:paraId="14649CF9">
      <w:pPr>
        <w:rPr>
          <w:rFonts w:hint="eastAsia"/>
        </w:rPr>
      </w:pPr>
      <w:r>
        <w:rPr>
          <w:rFonts w:hint="eastAsia"/>
        </w:rPr>
        <w:t>In contrast, our MoE with using buy-and- short strategy only lost 3.27%.</w:t>
      </w:r>
    </w:p>
    <w:p w14:paraId="09067B0F">
      <w:pPr>
        <w:rPr>
          <w:rFonts w:hint="eastAsia"/>
        </w:rPr>
      </w:pPr>
      <w:r>
        <w:rPr>
          <w:rFonts w:hint="eastAsia"/>
        </w:rPr>
        <w:t>Why? Because our heterogeneous experts—specifically the Volatility Expert—successfully identified the high-risk regime and signaled to reduce exposure. This confirms our semantic features are universal, not asset-specific.</w:t>
      </w:r>
    </w:p>
    <w:p w14:paraId="129C0DC3"/>
    <w:p w14:paraId="31F6111A"/>
    <w:p w14:paraId="5AE590CD"/>
    <w:p w14:paraId="0D3AB6F7">
      <w:pPr>
        <w:rPr>
          <w:rFonts w:hint="eastAsia"/>
        </w:rPr>
      </w:pPr>
      <w:r>
        <w:rPr>
          <w:rFonts w:hint="eastAsia"/>
        </w:rPr>
        <w:t>Now, let's move on, the bridge between theory and practice.</w:t>
      </w:r>
    </w:p>
    <w:p w14:paraId="3F706D5A">
      <w:pPr>
        <w:rPr>
          <w:rFonts w:hint="eastAsia"/>
        </w:rPr>
      </w:pPr>
      <w:r>
        <w:rPr>
          <w:rFonts w:hint="eastAsia"/>
        </w:rPr>
        <w:t>We identified a phenomenon we call: 'Predictively Strong but Operationally Fragile'.</w:t>
      </w:r>
    </w:p>
    <w:p w14:paraId="3E60BE2D">
      <w:pPr>
        <w:rPr>
          <w:rFonts w:hint="eastAsia"/>
        </w:rPr>
      </w:pPr>
      <w:r>
        <w:rPr>
          <w:rFonts w:hint="eastAsia"/>
        </w:rPr>
        <w:t>Academic papers often stop at RMSE. But in the industry, execution is everything.</w:t>
      </w:r>
    </w:p>
    <w:p w14:paraId="2686B0C2">
      <w:pPr>
        <w:rPr>
          <w:rFonts w:hint="eastAsia"/>
        </w:rPr>
      </w:pPr>
      <w:r>
        <w:rPr>
          <w:rFonts w:hint="eastAsia"/>
        </w:rPr>
        <w:t>Please compare the two charts. On the left, daily data looks smooth. But on the right, high-frequency 5-minute data reveals the ugly truth: microstructure noise, liquidity gaps, and rapid reversals.</w:t>
      </w:r>
    </w:p>
    <w:p w14:paraId="5A2B0EDC">
      <w:pPr>
        <w:rPr>
          <w:rFonts w:hint="eastAsia"/>
        </w:rPr>
      </w:pPr>
      <w:r>
        <w:rPr>
          <w:rFonts w:hint="eastAsia"/>
        </w:rPr>
        <w:t>We term this the 'Daily Illusion'.</w:t>
      </w:r>
    </w:p>
    <w:p w14:paraId="724B3323">
      <w:pPr>
        <w:rPr>
          <w:rFonts w:hint="eastAsia"/>
        </w:rPr>
      </w:pPr>
      <w:r>
        <w:rPr>
          <w:rFonts w:hint="eastAsia"/>
        </w:rPr>
        <w:t>Models trained on daily data often fail intraday because they underestimate transaction costs and turnover.</w:t>
      </w:r>
    </w:p>
    <w:p w14:paraId="45EC4C68">
      <w:pPr>
        <w:rPr>
          <w:rFonts w:hint="eastAsia"/>
        </w:rPr>
      </w:pPr>
      <w:r>
        <w:rPr>
          <w:rFonts w:hint="eastAsia"/>
        </w:rPr>
        <w:t>If we simply trade on every signal, the transaction costs will eat up all the alpha.</w:t>
      </w:r>
    </w:p>
    <w:p w14:paraId="4AD629AE">
      <w:pPr>
        <w:rPr>
          <w:rFonts w:hint="eastAsia"/>
        </w:rPr>
      </w:pPr>
      <w:r>
        <w:rPr>
          <w:rFonts w:hint="eastAsia"/>
        </w:rPr>
        <w:t>So, the core challenge of this Chapter  is: How do we filter out the 'noise trades' and keep only the 'quality trades'?" </w:t>
      </w:r>
    </w:p>
    <w:p w14:paraId="39BC5A9D">
      <w:pPr>
        <w:rPr>
          <w:rFonts w:hint="eastAsia"/>
        </w:rPr>
      </w:pPr>
    </w:p>
    <w:p w14:paraId="1140A734"/>
    <w:p w14:paraId="15B3D100"/>
    <w:p w14:paraId="4B872733"/>
    <w:p w14:paraId="2AC189BF"/>
    <w:p w14:paraId="62EC0B6F">
      <w:pPr>
        <w:rPr>
          <w:rFonts w:hint="eastAsia"/>
        </w:rPr>
      </w:pPr>
      <w:r>
        <w:rPr>
          <w:rFonts w:hint="eastAsia"/>
        </w:rPr>
        <w:t>To rigorously test this, standard daily data wasn't enough.</w:t>
      </w:r>
    </w:p>
    <w:p w14:paraId="7B3B4FB5">
      <w:pPr>
        <w:rPr>
          <w:rFonts w:hint="eastAsia"/>
        </w:rPr>
      </w:pPr>
      <w:r>
        <w:rPr>
          <w:rFonts w:hint="eastAsia"/>
        </w:rPr>
        <w:t>We utilized the Wind Database to acquire high-fidelity 5-minute level data.</w:t>
      </w:r>
    </w:p>
    <w:p w14:paraId="754BCB4D">
      <w:pPr>
        <w:rPr>
          <w:rFonts w:hint="eastAsia"/>
        </w:rPr>
      </w:pPr>
      <w:r>
        <w:rPr>
          <w:rFonts w:hint="eastAsia"/>
        </w:rPr>
        <w:t>This scaled our validation set from hundreds of points to over 194,000 data points.</w:t>
      </w:r>
    </w:p>
    <w:p w14:paraId="6BDE9929">
      <w:pPr>
        <w:rPr>
          <w:rFonts w:hint="eastAsia"/>
        </w:rPr>
      </w:pPr>
      <w:r>
        <w:rPr>
          <w:rFonts w:hint="eastAsia"/>
        </w:rPr>
        <w:t>This massive dataset ensures that our execution logic is statistically significant and not just a fluke.</w:t>
      </w:r>
    </w:p>
    <w:p w14:paraId="53506CDB">
      <w:pPr>
        <w:rPr>
          <w:rFonts w:hint="eastAsia"/>
        </w:rPr>
      </w:pPr>
    </w:p>
    <w:p w14:paraId="68D3816A">
      <w:pPr>
        <w:rPr>
          <w:rFonts w:hint="eastAsia"/>
        </w:rPr>
      </w:pPr>
      <w:r>
        <w:rPr>
          <w:rFonts w:hint="eastAsia"/>
        </w:rPr>
        <w:t>Financial data has 'Fat Tails'</w:t>
      </w:r>
    </w:p>
    <w:p w14:paraId="31EC2401">
      <w:pPr>
        <w:rPr>
          <w:rFonts w:hint="eastAsia"/>
        </w:rPr>
      </w:pPr>
      <w:r>
        <w:rPr>
          <w:rFonts w:hint="eastAsia"/>
        </w:rPr>
        <w:t>A standard LSTM is too slow to react to these shocks.</w:t>
      </w:r>
    </w:p>
    <w:p w14:paraId="66808028">
      <w:pPr>
        <w:rPr>
          <w:rFonts w:hint="eastAsia"/>
        </w:rPr>
      </w:pPr>
      <w:r>
        <w:rPr>
          <w:rFonts w:hint="eastAsia"/>
        </w:rPr>
        <w:t>But our model has a dedicated Volatility Expert (a 1D-CNN). Its sole job is to detect these local spikes and sudden crashes.</w:t>
      </w:r>
    </w:p>
    <w:p w14:paraId="3C2C0D95">
      <w:pPr>
        <w:rPr>
          <w:rFonts w:hint="eastAsia"/>
        </w:rPr>
      </w:pPr>
      <w:r>
        <w:rPr>
          <w:rFonts w:hint="eastAsia"/>
        </w:rPr>
        <w:t>As we will see, this expert becomes our 'Risk Sensor'.</w:t>
      </w:r>
    </w:p>
    <w:p w14:paraId="78002E26">
      <w:pPr>
        <w:rPr>
          <w:rFonts w:hint="eastAsia"/>
        </w:rPr>
      </w:pPr>
    </w:p>
    <w:p w14:paraId="18EC3D73"/>
    <w:p w14:paraId="245B5841"/>
    <w:p w14:paraId="0BED2D30"/>
    <w:p w14:paraId="292D1269"/>
    <w:p w14:paraId="400C5742">
      <w:pPr>
        <w:rPr>
          <w:rFonts w:hint="eastAsia"/>
        </w:rPr>
      </w:pPr>
      <w:r>
        <w:rPr>
          <w:rFonts w:hint="eastAsia"/>
        </w:rPr>
        <w:t>Before we applied our solution, we ran a diagnostic test.</w:t>
      </w:r>
    </w:p>
    <w:p w14:paraId="79ED7E0F">
      <w:pPr>
        <w:rPr>
          <w:rFonts w:hint="eastAsia"/>
        </w:rPr>
      </w:pPr>
      <w:r>
        <w:rPr>
          <w:rFonts w:hint="eastAsia"/>
        </w:rPr>
        <w:t>Look at the top-left chart: our Directional Accuracy is consistently above 50%. Theoretically, we should be profitable.</w:t>
      </w:r>
    </w:p>
    <w:p w14:paraId="1F3F1F5B">
      <w:pPr>
        <w:rPr>
          <w:rFonts w:hint="eastAsia"/>
        </w:rPr>
      </w:pPr>
      <w:r>
        <w:rPr>
          <w:rFonts w:hint="eastAsia"/>
        </w:rPr>
        <w:t>But look at the top-right: the Net Returns may sometimes around zero, sometimes negative.</w:t>
      </w:r>
    </w:p>
    <w:p w14:paraId="14066499">
      <w:pPr>
        <w:rPr>
          <w:rFonts w:hint="eastAsia"/>
        </w:rPr>
      </w:pPr>
      <w:r>
        <w:rPr>
          <w:rFonts w:hint="eastAsia"/>
        </w:rPr>
        <w:t>And we can see The Turnover Rate is too high. The model is over-trading in uncertain regimes. It's working hard, but not working smart."</w:t>
      </w:r>
    </w:p>
    <w:p w14:paraId="21CDF628">
      <w:pPr>
        <w:rPr>
          <w:rFonts w:hint="eastAsia"/>
        </w:rPr>
      </w:pPr>
    </w:p>
    <w:p w14:paraId="093E44FD"/>
    <w:p w14:paraId="78AAC568"/>
    <w:p w14:paraId="10FC8764"/>
    <w:p w14:paraId="4C4604A0"/>
    <w:p w14:paraId="3FD01E38">
      <w:pPr>
        <w:rPr>
          <w:rFonts w:hint="eastAsia"/>
        </w:rPr>
      </w:pPr>
      <w:r>
        <w:rPr>
          <w:rFonts w:hint="eastAsia"/>
        </w:rPr>
        <w:t>To solve this, we introduced a hierarchical execution logic.</w:t>
      </w:r>
    </w:p>
    <w:p w14:paraId="359763E9">
      <w:pPr>
        <w:rPr>
          <w:rFonts w:hint="eastAsia"/>
        </w:rPr>
      </w:pPr>
      <w:r>
        <w:rPr>
          <w:rFonts w:hint="eastAsia"/>
        </w:rPr>
        <w:t>The position is determined by three components: Signal, Trend, and Confidence.</w:t>
      </w:r>
    </w:p>
    <w:p w14:paraId="14DAFA98">
      <w:pPr>
        <w:rPr>
          <w:rFonts w:hint="eastAsia"/>
        </w:rPr>
      </w:pPr>
      <w:r>
        <w:rPr>
          <w:rFonts w:hint="eastAsia"/>
        </w:rPr>
        <w:t>The first two are standard: trade only when the signal is strong and aligned with the trend.</w:t>
      </w:r>
    </w:p>
    <w:p w14:paraId="629B896F">
      <w:pPr>
        <w:rPr>
          <w:rFonts w:hint="eastAsia"/>
        </w:rPr>
      </w:pPr>
      <w:r>
        <w:rPr>
          <w:rFonts w:hint="eastAsia"/>
        </w:rPr>
        <w:t>But the Confidence Gate is our key innovation.</w:t>
      </w:r>
    </w:p>
    <w:p w14:paraId="0B110E3A">
      <w:pPr>
        <w:rPr>
          <w:rFonts w:hint="eastAsia"/>
        </w:rPr>
      </w:pPr>
      <w:r>
        <w:rPr>
          <w:rFonts w:hint="eastAsia"/>
        </w:rPr>
        <w:t>Instead of using an external risk model, we use the internal attention weights of the MoE.</w:t>
      </w:r>
    </w:p>
    <w:p w14:paraId="2C749431">
      <w:pPr>
        <w:rPr>
          <w:rFonts w:hint="eastAsia"/>
        </w:rPr>
      </w:pPr>
      <w:r>
        <w:rPr>
          <w:rFonts w:hint="eastAsia"/>
        </w:rPr>
        <w:t>When the Gating Network assigns a high weight to the Volatility Expert (CNN), it implies the market is in a 'Panic State'.</w:t>
      </w:r>
    </w:p>
    <w:p w14:paraId="257298DE">
      <w:pPr>
        <w:rPr>
          <w:rFonts w:hint="eastAsia"/>
        </w:rPr>
      </w:pPr>
      <w:r>
        <w:rPr>
          <w:rFonts w:hint="eastAsia"/>
        </w:rPr>
        <w:t>In this scenario, the Confidence Gate overrides the buy signal and forces the strategy to stay in Cash, avoiding the storm."</w:t>
      </w:r>
    </w:p>
    <w:p w14:paraId="19673A17">
      <w:pPr>
        <w:rPr>
          <w:rFonts w:hint="eastAsia"/>
        </w:rPr>
      </w:pPr>
    </w:p>
    <w:p w14:paraId="284EFDF3">
      <w:pPr>
        <w:rPr>
          <w:rFonts w:hint="eastAsia"/>
        </w:rPr>
      </w:pPr>
      <w:r>
        <w:rPr>
          <w:rFonts w:hint="eastAsia"/>
        </w:rPr>
        <w:t>You can see this mechanism visually in this heatmap.</w:t>
      </w:r>
    </w:p>
    <w:p w14:paraId="151AE0A1">
      <w:pPr>
        <w:rPr>
          <w:rFonts w:hint="eastAsia"/>
        </w:rPr>
      </w:pPr>
      <w:r>
        <w:rPr>
          <w:rFonts w:hint="eastAsia"/>
        </w:rPr>
        <w:t>The colors represent the active expert. Notice how the model dynamically shifts between the Trend Expert (in blue) and the Volatility Expert (in yellow/green) as market conditions change.</w:t>
      </w:r>
    </w:p>
    <w:p w14:paraId="0EDDD491">
      <w:pPr>
        <w:rPr>
          <w:rFonts w:hint="eastAsia"/>
        </w:rPr>
      </w:pPr>
      <w:r>
        <w:rPr>
          <w:rFonts w:hint="eastAsia"/>
        </w:rPr>
        <w:t>This proves the model isn't a black box—it is explicitly reacting to changing risk levels.</w:t>
      </w:r>
    </w:p>
    <w:p w14:paraId="6215C6D8"/>
    <w:p w14:paraId="71D3AC8C"/>
    <w:p w14:paraId="1FFB1A2D"/>
    <w:p w14:paraId="44F4FCF4"/>
    <w:p w14:paraId="46BED4B8">
      <w:pPr>
        <w:rPr>
          <w:rFonts w:hint="eastAsia"/>
        </w:rPr>
      </w:pPr>
      <w:r>
        <w:rPr>
          <w:rFonts w:hint="eastAsia"/>
        </w:rPr>
        <w:t>The results validate this approach.</w:t>
      </w:r>
    </w:p>
    <w:p w14:paraId="31FDC236">
      <w:pPr>
        <w:rPr>
          <w:rFonts w:hint="eastAsia"/>
        </w:rPr>
      </w:pPr>
      <w:r>
        <w:rPr>
          <w:rFonts w:hint="eastAsia"/>
        </w:rPr>
        <w:t>By activating the Confidence Gate, we achieved a higher Net Return of 1.66% compared to the Baseline's 1.59%.</w:t>
      </w:r>
    </w:p>
    <w:p w14:paraId="5B91DDFC">
      <w:pPr>
        <w:rPr>
          <w:rFonts w:hint="eastAsia"/>
        </w:rPr>
      </w:pPr>
      <w:r>
        <w:rPr>
          <w:rFonts w:hint="eastAsia"/>
        </w:rPr>
        <w:t>While the margin seems small, look at the efficiency. We achieved this with significantly lower turnover.</w:t>
      </w:r>
    </w:p>
    <w:p w14:paraId="3C06C249">
      <w:pPr>
        <w:rPr>
          <w:rFonts w:hint="eastAsia"/>
        </w:rPr>
      </w:pPr>
      <w:r>
        <w:rPr>
          <w:rFonts w:hint="eastAsia"/>
        </w:rPr>
        <w:t>We avoided the 'death by a thousand cuts' of transaction costs, proving that in high-frequency trading, execution logic is just as important as prediction accuracy.</w:t>
      </w:r>
    </w:p>
    <w:p w14:paraId="01EDD2B3"/>
    <w:p w14:paraId="0479CE22"/>
    <w:p w14:paraId="130783BB"/>
    <w:p w14:paraId="39BA0359"/>
    <w:p w14:paraId="705E0AF2">
      <w:pPr>
        <w:rPr>
          <w:rFonts w:hint="eastAsia"/>
        </w:rPr>
      </w:pPr>
      <w:r>
        <w:rPr>
          <w:rFonts w:hint="eastAsia"/>
        </w:rPr>
        <w:t>Finally, we had to ensure this 1.66% wasn't just random noise.</w:t>
      </w:r>
    </w:p>
    <w:p w14:paraId="3F9C6FDE">
      <w:pPr>
        <w:rPr>
          <w:rFonts w:hint="eastAsia"/>
        </w:rPr>
      </w:pPr>
      <w:r>
        <w:rPr>
          <w:rFonts w:hint="eastAsia"/>
        </w:rPr>
        <w:t>We performed a Wilcoxon Signed-Rank Test on the paired fold returns.</w:t>
      </w:r>
    </w:p>
    <w:p w14:paraId="2D1EEF25">
      <w:pPr>
        <w:rPr>
          <w:rFonts w:hint="eastAsia"/>
        </w:rPr>
      </w:pPr>
      <w:r>
        <w:rPr>
          <w:rFonts w:hint="eastAsia"/>
        </w:rPr>
        <w:t>We chose this non-parametric test because the return differences were not normally distributed.</w:t>
      </w:r>
    </w:p>
    <w:p w14:paraId="392138C8">
      <w:pPr>
        <w:rPr>
          <w:rFonts w:hint="eastAsia"/>
        </w:rPr>
      </w:pPr>
      <w:r>
        <w:rPr>
          <w:rFonts w:hint="eastAsia"/>
        </w:rPr>
        <w:t>The result gave a p-value of 0.021. Since this is below 0.05, we can confidently state that our MoE strategy significantly outperforms the baseline.</w:t>
      </w:r>
    </w:p>
    <w:p w14:paraId="14DF89B7">
      <w:pPr>
        <w:rPr>
          <w:rFonts w:hint="eastAsia"/>
        </w:rPr>
      </w:pPr>
    </w:p>
    <w:p w14:paraId="1F8C7D48"/>
    <w:p w14:paraId="66D1A731"/>
    <w:p w14:paraId="4B764624"/>
    <w:p w14:paraId="123554F9"/>
    <w:p w14:paraId="66F647A5">
      <w:pPr>
        <w:rPr>
          <w:rFonts w:hint="eastAsia"/>
        </w:rPr>
      </w:pPr>
      <w:r>
        <w:rPr>
          <w:rFonts w:hint="eastAsia"/>
        </w:rPr>
        <w:t>To wrap up, our Final Year Project resolves the 'Lagging Paradox' by combining ARIMA with a regime-aware Mixture-of-Experts.</w:t>
      </w:r>
    </w:p>
    <w:p w14:paraId="12290D42">
      <w:pPr>
        <w:rPr>
          <w:rFonts w:hint="eastAsia"/>
        </w:rPr>
      </w:pPr>
      <w:r>
        <w:rPr>
          <w:rFonts w:hint="eastAsia"/>
        </w:rPr>
        <w:t>We have shown that:</w:t>
      </w:r>
    </w:p>
    <w:p w14:paraId="330FD885">
      <w:pPr>
        <w:rPr>
          <w:rFonts w:hint="eastAsia"/>
        </w:rPr>
      </w:pPr>
      <w:r>
        <w:rPr>
          <w:rFonts w:hint="eastAsia"/>
        </w:rPr>
        <w:t>1. The model is Robust across years and assets (Bitcoin).</w:t>
      </w:r>
    </w:p>
    <w:p w14:paraId="772BABFC">
      <w:pPr>
        <w:rPr>
          <w:rFonts w:hint="eastAsia"/>
        </w:rPr>
      </w:pPr>
      <w:r>
        <w:rPr>
          <w:rFonts w:hint="eastAsia"/>
        </w:rPr>
        <w:t>2. It is Interpretable via the expert gating mechanism.</w:t>
      </w:r>
    </w:p>
    <w:p w14:paraId="784E37C5">
      <w:pPr>
        <w:rPr>
          <w:rFonts w:hint="eastAsia"/>
        </w:rPr>
      </w:pPr>
      <w:r>
        <w:rPr>
          <w:rFonts w:hint="eastAsia"/>
        </w:rPr>
        <w:t>3. And most importantly, it is Economically Viable under realistic costs.</w:t>
      </w:r>
    </w:p>
    <w:p w14:paraId="45E32CE5"/>
    <w:p w14:paraId="7A9D21E6"/>
    <w:p w14:paraId="0862AB7F"/>
    <w:p w14:paraId="5B4F4A8B"/>
    <w:p w14:paraId="70AF3B25">
      <w:pPr>
        <w:rPr>
          <w:rFonts w:hint="eastAsia"/>
        </w:rPr>
      </w:pPr>
      <w:r>
        <w:rPr>
          <w:rFonts w:hint="eastAsia"/>
        </w:rPr>
        <w:t>The domestic market remains predominantly policy-oriented. In our future model improvements, we plan to incorporate large language models (LLMs) specialized in textual analysis, such as FinGPT, to better capture policy-related information. I have personally experimented with this technique in the Banking course and achieved promising results.</w:t>
      </w:r>
    </w:p>
    <w:p w14:paraId="53C35FAC">
      <w:pPr>
        <w:rPr>
          <w:rFonts w:hint="eastAsia"/>
        </w:rPr>
      </w:pPr>
      <w:r>
        <w:rPr>
          <w:rFonts w:hint="eastAsia"/>
        </w:rPr>
        <w:t>First and foremost, I would like to express my sincere gratitude to my supervisor, Dr. Sherry Zhou. Throughout the entire process—from topic selection and research design to model development and writing—Dr. Zhou provided me with patient guidance and invaluable advice. Her professionalism and rigorous approach have greatly benefited me.</w:t>
      </w:r>
    </w:p>
    <w:p w14:paraId="64A9D020">
      <w:pPr>
        <w:rPr>
          <w:rFonts w:hint="eastAsia"/>
        </w:rPr>
      </w:pPr>
      <w:r>
        <w:rPr>
          <w:rFonts w:hint="eastAsia"/>
        </w:rPr>
        <w:t>I would also like to extend my thanks to Dr. Eric Zhao for taking the time to listen my report and offer insightful feedback despite his busy schedule. Your thoughtful questions will deepened my understanding of the research.</w:t>
      </w:r>
    </w:p>
    <w:p w14:paraId="5302B582">
      <w:pPr>
        <w:rPr>
          <w:rFonts w:hint="eastAsia"/>
        </w:rPr>
      </w:pPr>
      <w:r>
        <w:rPr>
          <w:rFonts w:hint="eastAsia"/>
        </w:rPr>
        <w:t>Additionally, I am grateful to all the instructors who have taught and supported me throughout the program, as well as to my classmates who have stood by me every step of the way. Thank you for your help, encouragement, and collaboration during discussions, experiments, and defense preparation. This achievement would not have been possible without everyone's collective efforts.</w:t>
      </w:r>
    </w:p>
    <w:p w14:paraId="1BBC1E8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C841719"/>
    <w:rsid w:val="5EBD1F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2025-12-13T15:57:19Z</dcterms:created>
  <dc:creator>Lenovo</dc:creator>
  <cp:lastModifiedBy>有心·不负时光</cp:lastModifiedBy>
  <dcterms:modified xsi:type="dcterms:W3CDTF">2025-12-13T15:59:28Z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eyJoZGlkIjoiZmZjOTFhMThhODAwMzU0ODA1NGE1NmJlMGVjMzM3MzQiLCJ1c2VySWQiOiI3OTM1MzY0NTEifQ==</vt:lpwstr>
  </property>
  <property fmtid="{D5CDD505-2E9C-101B-9397-08002B2CF9AE}" pid="4" name="ICV">
    <vt:lpwstr>629243447EF9428583C402C840E16E2E_12</vt:lpwstr>
  </property>
</Properties>
</file>