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28"/>
          <w:szCs w:val="28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28"/>
          <w:szCs w:val="28"/>
          <w:rtl w:val="0"/>
        </w:rPr>
        <w:t>第一部分：背景与动机 (Introduction)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Times New Roman" w:hAnsi="Times New Roman" w:eastAsia="Google Sans Text" w:cs="Times New Roman"/>
        </w:rPr>
      </w:pPr>
      <w:r>
        <w:rPr>
          <w:rFonts w:hint="default" w:ascii="Times New Roman" w:hAnsi="Times New Roman" w:eastAsia="Google Sans Text" w:cs="Times New Roman"/>
          <w:rtl w:val="0"/>
        </w:rPr>
        <w:t>时间分配：约 3-4 分钟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Times New Roman" w:hAnsi="Times New Roman" w:eastAsia="Google Sans Text" w:cs="Times New Roman"/>
        </w:rPr>
      </w:pPr>
      <w:r>
        <w:rPr>
          <w:rFonts w:hint="default" w:ascii="Times New Roman" w:hAnsi="Times New Roman" w:eastAsia="Google Sans Text" w:cs="Times New Roman"/>
          <w:rtl w:val="0"/>
        </w:rPr>
        <w:t>这部分的目标是建立“滞后悖论”的概念，让听众觉得这个问题很值得研究。</w:t>
      </w:r>
    </w:p>
    <w:p w14:paraId="0000000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1: 封面 (Title Page)</w:t>
      </w:r>
    </w:p>
    <w:p w14:paraId="00000005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论文题目、你的姓名、学号、导师、日期。</w:t>
      </w:r>
    </w:p>
    <w:p w14:paraId="00000006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[Cover Page]</w:t>
      </w:r>
    </w:p>
    <w:p w14:paraId="0000000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2: 演讲大纲 (Agenda)</w:t>
      </w:r>
    </w:p>
    <w:p w14:paraId="00000008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内容：1.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Introduction  2.Methodology  3.Data &amp; Setup  4.Results &amp; Analysis  5.Interpretability  6.Execution Robustness   7. Conclusion。</w:t>
      </w:r>
    </w:p>
    <w:p w14:paraId="00000009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[Table of Contents]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3: 研究背景 (Background)</w:t>
      </w:r>
    </w:p>
    <w:p w14:paraId="0000000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</w:p>
    <w:p w14:paraId="0000000C">
      <w:pPr>
        <w:numPr>
          <w:ilvl w:val="2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金融时间序列的难点：非平稳性 (Non-stationarity)、低信噪比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1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0D">
      <w:pPr>
        <w:numPr>
          <w:ilvl w:val="2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传统线性模型 (ARIMA) 与 现代深度学习 (LSTM) 的优缺点对比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2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0E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1.1</w:t>
      </w:r>
    </w:p>
    <w:p w14:paraId="0000000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4: 核心痛点：滞后悖论 (The Lagging Paradox)</w:t>
      </w:r>
    </w:p>
    <w:p w14:paraId="00000010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</w:p>
    <w:p w14:paraId="00000011">
      <w:pPr>
        <w:numPr>
          <w:ilvl w:val="2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定义：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为了最小化点预测误差 (RMSE)，模型倾向于“复制”前一天的价格，导致在趋势反转时总是慢一拍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3333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12">
      <w:pPr>
        <w:numPr>
          <w:ilvl w:val="2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图示：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放一个简单的 LSTM 滞后预测示意图（或者用论文 Figure 5.1 的局部截图作为引子）。</w:t>
      </w:r>
    </w:p>
    <w:p w14:paraId="00000013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1.2</w:t>
      </w:r>
    </w:p>
    <w:p w14:paraId="0000001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5: 研究目标与贡献 (Objectives &amp; Contributions)</w:t>
      </w:r>
    </w:p>
    <w:p w14:paraId="00000015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列出三个核心目标：</w:t>
      </w:r>
    </w:p>
    <w:p w14:paraId="00000016">
      <w:pPr>
        <w:numPr>
          <w:ilvl w:val="2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9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Resolve Lagging: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提高方向预测准确率 (Directional Accuracy)。</w:t>
      </w:r>
    </w:p>
    <w:p w14:paraId="00000017">
      <w:pPr>
        <w:numPr>
          <w:ilvl w:val="2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Explainability: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打开黑盒，理解模型如何根据市场状态（Regime）做决策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4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18">
      <w:pPr>
        <w:numPr>
          <w:ilvl w:val="2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Heterogeneity: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使用异构专家模型捕捉不同市场语义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5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19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1.2 &amp; 1.3</w:t>
      </w:r>
    </w:p>
    <w:p w14:paraId="0000001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28"/>
          <w:szCs w:val="28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28"/>
          <w:szCs w:val="28"/>
          <w:rtl w:val="0"/>
        </w:rPr>
        <w:t>第二部分：方法论 (Methodology) —— 这是最核心的 8 分钟</w:t>
      </w:r>
    </w:p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="Times New Roman" w:hAnsi="Times New Roman" w:eastAsia="Google Sans Text" w:cs="Times New Roman"/>
          <w:i/>
          <w:iCs/>
          <w:color w:val="1F1F1F"/>
        </w:rPr>
      </w:pPr>
      <w:r>
        <w:rPr>
          <w:rFonts w:hint="default" w:ascii="Times New Roman" w:hAnsi="Times New Roman" w:eastAsia="Google Sans Text" w:cs="Times New Roman"/>
          <w:i/>
          <w:iCs/>
          <w:color w:val="1F1F1F"/>
          <w:rtl w:val="0"/>
        </w:rPr>
        <w:t>这部分需要展示你的技术深度，解释模型为什么这样设计。</w:t>
      </w:r>
    </w:p>
    <w:p w14:paraId="0000001C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6: 整体架构概览 (The Hybrid Framework)</w:t>
      </w:r>
    </w:p>
    <w:p w14:paraId="0000001D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放一张大大的模型架构图。</w:t>
      </w:r>
    </w:p>
    <w:p w14:paraId="0000001E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解说：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介绍“线性与非线性分解”思想：$y_t = L_t (Linear) + N_t (Non-linear)$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6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。ARIMA 处理 $L_t$，MoE 处理 $N_t$。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1F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3.1</w:t>
      </w:r>
    </w:p>
    <w:p w14:paraId="00000020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7: 异构专家设计 (Heterogeneous Experts Design)</w:t>
      </w:r>
    </w:p>
    <w:p w14:paraId="00000021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详细解释为什么要用三个不同的网络结构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7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：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22">
      <w:pPr>
        <w:numPr>
          <w:ilvl w:val="2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Trend Expert (LSTM):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捕捉长期记忆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8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23">
      <w:pPr>
        <w:numPr>
          <w:ilvl w:val="2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Volatility Expert (1D-CNN):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捕捉局部突发波动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9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24">
      <w:pPr>
        <w:numPr>
          <w:ilvl w:val="2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Reversal Expert (MLP):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捕捉均值回归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10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25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3.2</w:t>
      </w:r>
    </w:p>
    <w:p w14:paraId="00000026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8: 时间感知门控网络 (Time-Aware Gating Mechanism)</w:t>
      </w:r>
    </w:p>
    <w:p w14:paraId="00000027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</w:p>
    <w:p w14:paraId="00000028">
      <w:pPr>
        <w:numPr>
          <w:ilvl w:val="2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解释 Gating Network 如何工作：使用 LSTM 编码市场状态，再通过 Attention 机制决定当前时刻听哪个专家的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11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29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3.2 (Eq 3.5)</w:t>
      </w:r>
    </w:p>
    <w:p w14:paraId="0000002A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9: 防止专家坍塌 (Preventing Expert Collapse)</w:t>
      </w:r>
    </w:p>
    <w:p w14:paraId="0000002B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</w:p>
    <w:p w14:paraId="0000002C">
      <w:pPr>
        <w:numPr>
          <w:ilvl w:val="2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痛点：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MoE 容易只训练一个专家，其他“偷懒”。</w:t>
      </w:r>
    </w:p>
    <w:p w14:paraId="0000002D">
      <w:pPr>
        <w:numPr>
          <w:ilvl w:val="2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方案：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引入门控熵正则化 (Gate Entropy Regularization)，强制模型“雨露均沾”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12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2E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3.2 (Eq 3.6)</w:t>
      </w:r>
    </w:p>
    <w:p w14:paraId="0000002F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10: 可解释性模块 (Interpretability Module)</w:t>
      </w:r>
    </w:p>
    <w:p w14:paraId="00000030">
      <w:pPr>
        <w:numPr>
          <w:ilvl w:val="1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</w:p>
    <w:p w14:paraId="00000031">
      <w:pPr>
        <w:numPr>
          <w:ilvl w:val="2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Concept Bottleneck Layer：将隐层映射到人类可理解的概念空间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13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32">
      <w:pPr>
        <w:numPr>
          <w:ilvl w:val="2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Decorrelation Regularization：确保学到的概念不重复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14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33">
      <w:pPr>
        <w:numPr>
          <w:ilvl w:val="1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3.3</w:t>
      </w:r>
    </w:p>
    <w:p w14:paraId="00000034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11: 损失函数与优化 (Loss Function)</w:t>
      </w:r>
    </w:p>
    <w:p w14:paraId="00000035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展示总损失函数公式：$Z_{total} = Z_{MSE} + \lambda_{ent}Z_{gate} + \lambda_{decor}Z_{decor}$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15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36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3.3 (Eq 3.8)</w:t>
      </w:r>
    </w:p>
    <w:p w14:paraId="0000003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28"/>
          <w:szCs w:val="28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28"/>
          <w:szCs w:val="28"/>
          <w:rtl w:val="0"/>
        </w:rPr>
        <w:t>第三部分：数据与初步分析 (Data &amp; Preliminary Analysis)</w:t>
      </w:r>
    </w:p>
    <w:p w14:paraId="00000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Times New Roman" w:hAnsi="Times New Roman" w:eastAsia="Google Sans Text" w:cs="Times New Roman"/>
        </w:rPr>
      </w:pPr>
      <w:r>
        <w:rPr>
          <w:rFonts w:hint="default" w:ascii="Times New Roman" w:hAnsi="Times New Roman" w:eastAsia="Google Sans Text" w:cs="Times New Roman"/>
          <w:rtl w:val="0"/>
        </w:rPr>
        <w:t>时间分配：约 2 分钟</w:t>
      </w:r>
    </w:p>
    <w:p w14:paraId="000000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Times New Roman" w:hAnsi="Times New Roman" w:eastAsia="Google Sans Text" w:cs="Times New Roman"/>
        </w:rPr>
      </w:pPr>
      <w:r>
        <w:rPr>
          <w:rFonts w:hint="default" w:ascii="Times New Roman" w:hAnsi="Times New Roman" w:eastAsia="Google Sans Text" w:cs="Times New Roman"/>
          <w:rtl w:val="0"/>
        </w:rPr>
        <w:t>快速带过，证明数据处理是严谨的。</w:t>
      </w:r>
    </w:p>
    <w:p w14:paraId="0000003A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12: 数据来源与描述 (Data Source)</w:t>
      </w:r>
    </w:p>
    <w:p w14:paraId="0000003B">
      <w:pPr>
        <w:numPr>
          <w:ilvl w:val="1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CSI 300 指数 (2022-2025)，包含开高低收量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16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3C">
      <w:pPr>
        <w:numPr>
          <w:ilvl w:val="1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图示：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Figure 4.1 (股价走势)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17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3D">
      <w:pPr>
        <w:numPr>
          <w:ilvl w:val="1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4.1</w:t>
      </w:r>
    </w:p>
    <w:p w14:paraId="0000003E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13: 统计特性与预处理 (Statistics &amp; Preprocessing)</w:t>
      </w:r>
    </w:p>
    <w:p w14:paraId="0000003F">
      <w:pPr>
        <w:numPr>
          <w:ilvl w:val="1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</w:p>
    <w:p w14:paraId="00000040">
      <w:pPr>
        <w:numPr>
          <w:ilvl w:val="2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对数收益率 (Log Returns)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18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41">
      <w:pPr>
        <w:numPr>
          <w:ilvl w:val="2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ADF 检验：证明差分后序列是平稳的，可以放入模型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19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42">
      <w:pPr>
        <w:numPr>
          <w:ilvl w:val="2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尖峰肥尾 (Kurtosis &gt; 3)，说明需要非线性模型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20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43">
      <w:pPr>
        <w:numPr>
          <w:ilvl w:val="1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4.1 (Table 4.1 &amp; 4.2)</w:t>
      </w:r>
    </w:p>
    <w:p w14:paraId="0000004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28"/>
          <w:szCs w:val="28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28"/>
          <w:szCs w:val="28"/>
          <w:rtl w:val="0"/>
        </w:rPr>
        <w:t>第四部分：结果分析 (Results &amp; Analysis)</w:t>
      </w:r>
    </w:p>
    <w:p w14:paraId="000000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Times New Roman" w:hAnsi="Times New Roman" w:eastAsia="Google Sans Text" w:cs="Times New Roman"/>
        </w:rPr>
      </w:pPr>
      <w:r>
        <w:rPr>
          <w:rFonts w:hint="default" w:ascii="Times New Roman" w:hAnsi="Times New Roman" w:eastAsia="Google Sans Text" w:cs="Times New Roman"/>
          <w:rtl w:val="0"/>
        </w:rPr>
        <w:t>时间分配：约 5 分钟</w:t>
      </w:r>
    </w:p>
    <w:p w14:paraId="00000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Times New Roman" w:hAnsi="Times New Roman" w:eastAsia="Google Sans Text" w:cs="Times New Roman"/>
        </w:rPr>
      </w:pPr>
      <w:r>
        <w:rPr>
          <w:rFonts w:hint="default" w:ascii="Times New Roman" w:hAnsi="Times New Roman" w:eastAsia="Google Sans Text" w:cs="Times New Roman"/>
          <w:rtl w:val="0"/>
        </w:rPr>
        <w:t>用数据证明模型效果。</w:t>
      </w:r>
    </w:p>
    <w:p w14:paraId="00000047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14: 预测性能对比 (Performance Comparison)</w:t>
      </w:r>
    </w:p>
    <w:p w14:paraId="00000048">
      <w:pPr>
        <w:numPr>
          <w:ilvl w:val="1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Table 5.1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是重点。</w:t>
      </w:r>
    </w:p>
    <w:p w14:paraId="00000049">
      <w:pPr>
        <w:numPr>
          <w:ilvl w:val="1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数据：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你的模型 RMSE (41.30) 远低于 LSTM (60.54)。</w:t>
      </w:r>
    </w:p>
    <w:p w14:paraId="0000004A">
      <w:pPr>
        <w:numPr>
          <w:ilvl w:val="1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高光点：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Directional Accuracy (DA) 达到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64.41%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，显著高于 LSTM 的 47.46%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21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4B">
      <w:pPr>
        <w:numPr>
          <w:ilvl w:val="1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5.1</w:t>
      </w:r>
    </w:p>
    <w:p w14:paraId="0000004C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15: 解决滞后悖论的可视化 (Visualizing the Paradox Resolution)</w:t>
      </w:r>
    </w:p>
    <w:p w14:paraId="0000004D">
      <w:pPr>
        <w:numPr>
          <w:ilvl w:val="1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Figure 5.1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</w:p>
    <w:p w14:paraId="0000004E">
      <w:pPr>
        <w:numPr>
          <w:ilvl w:val="1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解说：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放大图中的拐点，指出灰线 (LSTM) 只是在平移，而红线 (你的 MoE) 能够捕捉转折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22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4F">
      <w:pPr>
        <w:numPr>
          <w:ilvl w:val="1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5.1</w:t>
      </w:r>
    </w:p>
    <w:p w14:paraId="00000050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16: 消融实验：异构性 (Ablation: Heterogeneity)</w:t>
      </w:r>
    </w:p>
    <w:p w14:paraId="00000051">
      <w:pPr>
        <w:numPr>
          <w:ilvl w:val="1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Figure 5.10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</w:p>
    <w:p w14:paraId="00000052">
      <w:pPr>
        <w:numPr>
          <w:ilvl w:val="1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结论：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异构专家 (LSTM+CNN+MLP) 的效果优于同构专家 (3xLSTM)，证明不同结构的专家确实各司其职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23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53">
      <w:pPr>
        <w:numPr>
          <w:ilvl w:val="1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5.2</w:t>
      </w:r>
    </w:p>
    <w:p w14:paraId="00000054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17: 消融实验：正则化 (Ablation: Regularization)</w:t>
      </w:r>
    </w:p>
    <w:p w14:paraId="00000055">
      <w:pPr>
        <w:numPr>
          <w:ilvl w:val="1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Figure 5.2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</w:p>
    <w:p w14:paraId="00000056">
      <w:pPr>
        <w:numPr>
          <w:ilvl w:val="1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结论：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没有正则化时，Trend Expert 占用了92%的权重（坍塌）；加上后，三者分配均衡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24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57">
      <w:pPr>
        <w:numPr>
          <w:ilvl w:val="1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5.2</w:t>
      </w:r>
    </w:p>
    <w:p w14:paraId="0000005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28"/>
          <w:szCs w:val="28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28"/>
          <w:szCs w:val="28"/>
          <w:rtl w:val="0"/>
        </w:rPr>
        <w:t>第五部分：可解释性 (Interpretability Analysis)</w:t>
      </w:r>
    </w:p>
    <w:p w14:paraId="000000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Times New Roman" w:hAnsi="Times New Roman" w:eastAsia="Google Sans Text" w:cs="Times New Roman"/>
        </w:rPr>
      </w:pPr>
      <w:r>
        <w:rPr>
          <w:rFonts w:hint="default" w:ascii="Times New Roman" w:hAnsi="Times New Roman" w:eastAsia="Google Sans Text" w:cs="Times New Roman"/>
          <w:rtl w:val="0"/>
        </w:rPr>
        <w:t>时间分配：约 4 分钟</w:t>
      </w:r>
    </w:p>
    <w:p w14:paraId="000000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Times New Roman" w:hAnsi="Times New Roman" w:eastAsia="Google Sans Text" w:cs="Times New Roman"/>
        </w:rPr>
      </w:pPr>
      <w:r>
        <w:rPr>
          <w:rFonts w:hint="default" w:ascii="Times New Roman" w:hAnsi="Times New Roman" w:eastAsia="Google Sans Text" w:cs="Times New Roman"/>
          <w:rtl w:val="0"/>
        </w:rPr>
        <w:t>这是展示深度的环节，证明 AI 不是瞎猜。</w:t>
      </w:r>
    </w:p>
    <w:p w14:paraId="0000005B">
      <w:pPr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18: 动态门控权重分析 (Dynamic Gating Analysis)</w:t>
      </w:r>
    </w:p>
    <w:p w14:paraId="0000005C">
      <w:pPr>
        <w:numPr>
          <w:ilvl w:val="1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Figure 5.3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(颜色分层图)。</w:t>
      </w:r>
    </w:p>
    <w:p w14:paraId="0000005D">
      <w:pPr>
        <w:numPr>
          <w:ilvl w:val="1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故事线：</w:t>
      </w:r>
    </w:p>
    <w:p w14:paraId="0000005E">
      <w:pPr>
        <w:numPr>
          <w:ilvl w:val="2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>平稳期 $\rightarrow$ Trend Expert (蓝) 主导。</w:t>
      </w:r>
    </w:p>
    <w:p w14:paraId="0000005F">
      <w:pPr>
        <w:numPr>
          <w:ilvl w:val="2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>暴跌期 $\rightarrow$ Volatility Expert (橙) 飙升。</w:t>
      </w:r>
    </w:p>
    <w:p w14:paraId="00000060">
      <w:pPr>
        <w:numPr>
          <w:ilvl w:val="2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恢复期 $\rightarrow$ Reversal Expert (绿) 介入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25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61">
      <w:pPr>
        <w:numPr>
          <w:ilvl w:val="1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5.3</w:t>
      </w:r>
    </w:p>
    <w:p w14:paraId="00000062">
      <w:pPr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19: 忠实度检验：删除测试 (Faithfulness: Deletion)</w:t>
      </w:r>
    </w:p>
    <w:p w14:paraId="00000063">
      <w:pPr>
        <w:numPr>
          <w:ilvl w:val="1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Figure 5.4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</w:p>
    <w:p w14:paraId="00000064">
      <w:pPr>
        <w:numPr>
          <w:ilvl w:val="1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逻辑：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删掉“重要特征”后，模型性能下降得比删掉“随机特征”快，证明找到的特征是真的重要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26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65">
      <w:pPr>
        <w:numPr>
          <w:ilvl w:val="1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5.3.1</w:t>
      </w:r>
    </w:p>
    <w:p w14:paraId="00000066">
      <w:pPr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20: 忠实度检验：插入测试 (Faithfulness: Insertion)</w:t>
      </w:r>
    </w:p>
    <w:p w14:paraId="00000067">
      <w:pPr>
        <w:numPr>
          <w:ilvl w:val="1"/>
          <w:numId w:val="3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Figure 5.5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</w:p>
    <w:p w14:paraId="00000068">
      <w:pPr>
        <w:numPr>
          <w:ilvl w:val="1"/>
          <w:numId w:val="3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逻辑：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同样证明了特征重要性排序的可靠性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27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69">
      <w:pPr>
        <w:numPr>
          <w:ilvl w:val="1"/>
          <w:numId w:val="3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5.3.1</w:t>
      </w:r>
    </w:p>
    <w:p w14:paraId="0000006A">
      <w:pPr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21: 稳定性检验 (Stability Analysis)</w:t>
      </w:r>
    </w:p>
    <w:p w14:paraId="0000006B">
      <w:pPr>
        <w:numPr>
          <w:ilvl w:val="1"/>
          <w:numId w:val="3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Figure 5.8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</w:p>
    <w:p w14:paraId="0000006C">
      <w:pPr>
        <w:numPr>
          <w:ilvl w:val="1"/>
          <w:numId w:val="3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结论：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无论训练多少次 (不同 Seed)，解释结果都是稳定的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28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6D">
      <w:pPr>
        <w:numPr>
          <w:ilvl w:val="1"/>
          <w:numId w:val="3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5.3.2</w:t>
      </w:r>
    </w:p>
    <w:p w14:paraId="0000006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28"/>
          <w:szCs w:val="28"/>
          <w:rtl w:val="0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28"/>
          <w:szCs w:val="28"/>
          <w:rtl w:val="0"/>
        </w:rPr>
        <w:t>第六部分：实战回测与稳健性 (Robustness &amp; Execution)</w:t>
      </w:r>
    </w:p>
    <w:p w14:paraId="6B0FC6A9">
      <w:pPr>
        <w:numPr>
          <w:ilvl w:val="0"/>
          <w:numId w:val="3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22: 交易策略回测 (Backtesting Strategy)</w:t>
      </w:r>
    </w:p>
    <w:p w14:paraId="1D4EC9F3">
      <w:pPr>
        <w:numPr>
          <w:ilvl w:val="1"/>
          <w:numId w:val="3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Figure 5.9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(累计收益曲线)。</w:t>
      </w:r>
    </w:p>
    <w:p w14:paraId="2D2531BF">
      <w:pPr>
        <w:numPr>
          <w:ilvl w:val="1"/>
          <w:numId w:val="3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数据：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Sharpe Ratio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2.86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vs Benchmark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-0.20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。Max Drawdown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-2.97%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(抗跌)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29292929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52664749">
      <w:pPr>
        <w:numPr>
          <w:ilvl w:val="1"/>
          <w:numId w:val="3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5.4</w:t>
      </w:r>
    </w:p>
    <w:p w14:paraId="61A6E2C2">
      <w:pPr>
        <w:numPr>
          <w:ilvl w:val="0"/>
          <w:numId w:val="3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23: 滚动窗口交叉验证 (Rolling Window CV)</w:t>
      </w:r>
    </w:p>
    <w:p w14:paraId="3D4C6E4A">
      <w:pPr>
        <w:numPr>
          <w:ilvl w:val="1"/>
          <w:numId w:val="3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Figure 5.12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</w:p>
    <w:p w14:paraId="64157F78">
      <w:pPr>
        <w:numPr>
          <w:ilvl w:val="1"/>
          <w:numId w:val="3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结论：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这种盈利能力不是偶然的，在多个滚动周期中（涵盖不同市场环境）都表现稳定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30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4D63FCF5">
      <w:pPr>
        <w:numPr>
          <w:ilvl w:val="1"/>
          <w:numId w:val="3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5.7</w:t>
      </w:r>
    </w:p>
    <w:p w14:paraId="48E23E7B">
      <w:pPr>
        <w:numPr>
          <w:ilvl w:val="0"/>
          <w:numId w:val="3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24: 跨市场泛化：比特币测试 (Generalization: Bitcoin)</w:t>
      </w:r>
    </w:p>
    <w:p w14:paraId="49892AED">
      <w:pPr>
        <w:numPr>
          <w:ilvl w:val="1"/>
          <w:numId w:val="3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Figure 5.11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</w:p>
    <w:p w14:paraId="4C8F33D3">
      <w:pPr>
        <w:numPr>
          <w:ilvl w:val="1"/>
          <w:numId w:val="3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结论：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模型在比特币市场上也能跑赢买入持有策略，证明学到的规律具有普适性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31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11479EB3">
      <w:pPr>
        <w:numPr>
          <w:ilvl w:val="1"/>
          <w:numId w:val="3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5.6</w:t>
      </w:r>
    </w:p>
    <w:p w14:paraId="321CB3CE">
      <w:pPr>
        <w:numPr>
          <w:ilvl w:val="0"/>
          <w:numId w:val="3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25: 执行层面的挑战 (Execution Level Challenges)</w:t>
      </w:r>
      <w:bookmarkStart w:id="1" w:name="_GoBack"/>
      <w:bookmarkEnd w:id="1"/>
    </w:p>
    <w:p w14:paraId="3B725347">
      <w:pPr>
        <w:numPr>
          <w:ilvl w:val="1"/>
          <w:numId w:val="4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承认预测好 $\neq$ 赚钱好。高频交易存在手续费和滑点。</w:t>
      </w:r>
    </w:p>
    <w:p w14:paraId="5074DF12">
      <w:pPr>
        <w:numPr>
          <w:ilvl w:val="1"/>
          <w:numId w:val="4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图示：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Figure 6.1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(高频下的成本分布)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32323232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D82A4A">
      <w:pPr>
        <w:numPr>
          <w:ilvl w:val="1"/>
          <w:numId w:val="4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6.1</w:t>
      </w:r>
    </w:p>
    <w:p w14:paraId="415F98BF">
      <w:pPr>
        <w:rPr>
          <w:rFonts w:hint="default" w:ascii="Times New Roman" w:hAnsi="Times New Roman" w:cs="Times New Roman"/>
        </w:rPr>
      </w:pPr>
    </w:p>
    <w:p w14:paraId="0000006F">
      <w:pPr>
        <w:pStyle w:val="4"/>
        <w:spacing w:before="120" w:after="120" w:line="275" w:lineRule="auto"/>
        <w:rPr>
          <w:rFonts w:hint="default" w:ascii="Times New Roman" w:hAnsi="Times New Roman" w:eastAsia="Google Sans Text" w:cs="Times New Roman"/>
          <w:color w:val="1F1F1F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>Slide 26: Motivation: From Theory to Reality (High-Frequency Gap)</w:t>
      </w:r>
    </w:p>
    <w:p w14:paraId="00000070">
      <w:pPr>
        <w:numPr>
          <w:ilvl w:val="0"/>
          <w:numId w:val="1"/>
        </w:numPr>
        <w:spacing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核心目标：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展示“日频预测”与“实战交易”的巨大鸿沟，引出为什么要做高频测试。</w:t>
      </w:r>
    </w:p>
    <w:p w14:paraId="00000071">
      <w:pPr>
        <w:numPr>
          <w:ilvl w:val="0"/>
          <w:numId w:val="1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页面布局：</w:t>
      </w:r>
    </w:p>
    <w:p w14:paraId="00000072">
      <w:pPr>
        <w:numPr>
          <w:ilvl w:val="1"/>
          <w:numId w:val="2"/>
        </w:numPr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标题：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Motivation: Predictively Strong but Operationally Fragile?</w:t>
      </w:r>
    </w:p>
    <w:p w14:paraId="00000073">
      <w:pPr>
        <w:numPr>
          <w:ilvl w:val="1"/>
          <w:numId w:val="2"/>
        </w:numPr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左图：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放刚才生成的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日线 vs 5分钟线对比图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（左边是平滑的5个红点，右边是锯齿状的真实走势）。</w:t>
      </w:r>
    </w:p>
    <w:p w14:paraId="00000074">
      <w:pPr>
        <w:numPr>
          <w:ilvl w:val="1"/>
          <w:numId w:val="2"/>
        </w:numPr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右侧文字（Bullet Points）：</w:t>
      </w:r>
    </w:p>
    <w:p w14:paraId="00000075">
      <w:pPr>
        <w:numPr>
          <w:ilvl w:val="2"/>
          <w:numId w:val="3"/>
        </w:numPr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The "Lagging" Reality: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Daily data smooths out volatility, but real execution happens intraday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1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.</w:t>
      </w:r>
      <w:r>
        <w:rPr>
          <w:rFonts w:hint="default" w:ascii="Times New Roman" w:hAnsi="Times New Roman" w:cs="Times New Roman"/>
          <w:rtl w:val="0"/>
        </w:rPr>
        <w:br w:type="textWrapping"/>
      </w:r>
    </w:p>
    <w:p w14:paraId="00000076">
      <w:pPr>
        <w:numPr>
          <w:ilvl w:val="2"/>
          <w:numId w:val="3"/>
        </w:numPr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Microstructure Noise: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In real trading (5-min), we face bid-ask bounce, liquidity frictions, and "jagged" noise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2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.</w:t>
      </w:r>
      <w:r>
        <w:rPr>
          <w:rFonts w:hint="default" w:ascii="Times New Roman" w:hAnsi="Times New Roman" w:cs="Times New Roman"/>
          <w:rtl w:val="0"/>
        </w:rPr>
        <w:br w:type="textWrapping"/>
      </w:r>
    </w:p>
    <w:p w14:paraId="00000077">
      <w:pPr>
        <w:numPr>
          <w:ilvl w:val="2"/>
          <w:numId w:val="3"/>
        </w:numPr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Research Question: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Can our MoE model survive in this high-noise, low-signal environment?</w:t>
      </w:r>
    </w:p>
    <w:p w14:paraId="00000078">
      <w:pPr>
        <w:numPr>
          <w:ilvl w:val="0"/>
          <w:numId w:val="1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演讲话术 (Speaker Notes):</w:t>
      </w:r>
    </w:p>
    <w:p w14:paraId="00000079">
      <w:pPr>
        <w:numPr>
          <w:ilvl w:val="1"/>
          <w:numId w:val="4"/>
        </w:numPr>
        <w:spacing w:after="12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>"Chapter 5 展示了我们在日频数据上的成功。但在金融工程中，我们常说‘模型预测准不代表能赚钱’。大家请看左图，日线数据只有5个点，看起来很平滑；但真实的市场是右图这样的——充满了锯齿状的噪音和剧烈波动。为了验证模型的实战能力，我们必须把战场转移到 5分钟级别，看看 MoE 能否在这种高噪音环境下生存。"</w:t>
      </w:r>
    </w:p>
    <w:p w14:paraId="0000007A">
      <w:pPr>
        <w:pStyle w:val="4"/>
        <w:spacing w:before="120" w:after="120" w:line="275" w:lineRule="auto"/>
        <w:rPr>
          <w:rFonts w:hint="default" w:ascii="Times New Roman" w:hAnsi="Times New Roman" w:eastAsia="Google Sans Text" w:cs="Times New Roman"/>
          <w:color w:val="1F1F1F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Slide 27: Data &amp; Model Suitability (Why MoE Fits Chaos)</w:t>
      </w:r>
    </w:p>
    <w:p w14:paraId="0000007B">
      <w:pPr>
        <w:numPr>
          <w:ilvl w:val="0"/>
          <w:numId w:val="5"/>
        </w:numPr>
        <w:spacing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核心目标：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介绍数据，并从统计学角度解释为什么你们的模型适合这种非平稳数据。</w:t>
      </w:r>
    </w:p>
    <w:p w14:paraId="0000007C">
      <w:pPr>
        <w:numPr>
          <w:ilvl w:val="0"/>
          <w:numId w:val="5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页面布局：</w:t>
      </w:r>
    </w:p>
    <w:p w14:paraId="0000007D">
      <w:pPr>
        <w:numPr>
          <w:ilvl w:val="1"/>
          <w:numId w:val="6"/>
        </w:numPr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标题：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Data Description &amp; Methodological Fit</w:t>
      </w:r>
    </w:p>
    <w:p w14:paraId="0000007E">
      <w:pPr>
        <w:numPr>
          <w:ilvl w:val="1"/>
          <w:numId w:val="6"/>
        </w:numPr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左侧：数据规格 (Data Specs)</w:t>
      </w:r>
    </w:p>
    <w:p w14:paraId="0000007F">
      <w:pPr>
        <w:numPr>
          <w:ilvl w:val="2"/>
          <w:numId w:val="7"/>
        </w:numPr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Source: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WIND Database, CSI 300 Index (Intraday 5-min).</w:t>
      </w:r>
    </w:p>
    <w:p w14:paraId="00000080">
      <w:pPr>
        <w:numPr>
          <w:ilvl w:val="2"/>
          <w:numId w:val="7"/>
        </w:numPr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Scale: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~200,000 data points (vs. ~800 in daily).</w:t>
      </w:r>
    </w:p>
    <w:p w14:paraId="00000081">
      <w:pPr>
        <w:numPr>
          <w:ilvl w:val="2"/>
          <w:numId w:val="7"/>
        </w:numPr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Validation: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Strict Rolling Walk-Forward (No look-ahead bias)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3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.</w:t>
      </w:r>
      <w:r>
        <w:rPr>
          <w:rFonts w:hint="default" w:ascii="Times New Roman" w:hAnsi="Times New Roman" w:cs="Times New Roman"/>
          <w:rtl w:val="0"/>
        </w:rPr>
        <w:br w:type="textWrapping"/>
      </w:r>
    </w:p>
    <w:p w14:paraId="00000082">
      <w:pPr>
        <w:numPr>
          <w:ilvl w:val="1"/>
          <w:numId w:val="6"/>
        </w:numPr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右侧：为什么适合？ (Why Heterogeneous MoE?)</w:t>
      </w:r>
    </w:p>
    <w:p w14:paraId="00000083">
      <w:pPr>
        <w:numPr>
          <w:ilvl w:val="2"/>
          <w:numId w:val="8"/>
        </w:numPr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Challenge: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High-frequency data is highly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Non-Stationary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with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Fat-tailed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distribution (Frequent flash crashes)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4444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.</w:t>
      </w:r>
      <w:r>
        <w:rPr>
          <w:rFonts w:hint="default" w:ascii="Times New Roman" w:hAnsi="Times New Roman" w:cs="Times New Roman"/>
          <w:rtl w:val="0"/>
        </w:rPr>
        <w:br w:type="textWrapping"/>
      </w:r>
    </w:p>
    <w:p w14:paraId="00000084">
      <w:pPr>
        <w:numPr>
          <w:ilvl w:val="2"/>
          <w:numId w:val="8"/>
        </w:numPr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Solution: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Standard LSTM assumes static distribution $\rightarrow$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Fails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.</w:t>
      </w:r>
    </w:p>
    <w:p w14:paraId="00000085">
      <w:pPr>
        <w:numPr>
          <w:ilvl w:val="2"/>
          <w:numId w:val="8"/>
        </w:numPr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Our Edge: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We decouple the dynamics:</w:t>
      </w:r>
    </w:p>
    <w:p w14:paraId="00000086">
      <w:pPr>
        <w:numPr>
          <w:ilvl w:val="3"/>
          <w:numId w:val="9"/>
        </w:numPr>
        <w:spacing w:after="0" w:afterAutospacing="0" w:line="275" w:lineRule="auto"/>
        <w:ind w:left="168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/>
          <w:iCs/>
          <w:color w:val="1F1F1F"/>
          <w:rtl w:val="0"/>
        </w:rPr>
        <w:t>Trend Expert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handles smooth periods.</w:t>
      </w:r>
    </w:p>
    <w:p w14:paraId="00000087">
      <w:pPr>
        <w:numPr>
          <w:ilvl w:val="3"/>
          <w:numId w:val="9"/>
        </w:numPr>
        <w:spacing w:before="0" w:beforeAutospacing="0" w:after="0" w:afterAutospacing="0" w:line="275" w:lineRule="auto"/>
        <w:ind w:left="168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/>
          <w:iCs/>
          <w:color w:val="1F1F1F"/>
          <w:rtl w:val="0"/>
        </w:rPr>
        <w:t>Volatility Expert (CNN)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handles the "Fat Tails" (Crashes)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5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.</w:t>
      </w:r>
      <w:r>
        <w:rPr>
          <w:rFonts w:hint="default" w:ascii="Times New Roman" w:hAnsi="Times New Roman" w:cs="Times New Roman"/>
          <w:rtl w:val="0"/>
        </w:rPr>
        <w:br w:type="textWrapping"/>
      </w:r>
    </w:p>
    <w:p w14:paraId="00000088">
      <w:pPr>
        <w:numPr>
          <w:ilvl w:val="0"/>
          <w:numId w:val="5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演讲话术 (Speaker Notes):</w:t>
      </w:r>
    </w:p>
    <w:p w14:paraId="00000089">
      <w:pPr>
        <w:numPr>
          <w:ilvl w:val="1"/>
          <w:numId w:val="10"/>
        </w:numPr>
        <w:spacing w:after="12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>"我们使用了 WIND 数据库的 CSI 300 五分钟高频数据。这组数据最大的特点是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极度的非平稳性 (Non-stationary)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和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肥尾效应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。普通的 LSTM 假设数据分布不变，但这在高频里是不成立的。我们的 Heterogeneous MoE 设计正是为了解决这个问题——利用不同专家去‘对冲’数据分布的剧烈变化。"</w:t>
      </w:r>
    </w:p>
    <w:p w14:paraId="0000008A">
      <w:pPr>
        <w:pStyle w:val="4"/>
        <w:spacing w:before="120" w:after="120" w:line="275" w:lineRule="auto"/>
        <w:rPr>
          <w:rFonts w:hint="default" w:ascii="Times New Roman" w:hAnsi="Times New Roman" w:eastAsia="Google Sans Text" w:cs="Times New Roman"/>
          <w:color w:val="1F1F1F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Slide 28: Execution Strategy: The "Confidence Gate"</w:t>
      </w:r>
    </w:p>
    <w:p w14:paraId="0000008B">
      <w:pPr>
        <w:numPr>
          <w:ilvl w:val="0"/>
          <w:numId w:val="11"/>
        </w:numPr>
        <w:spacing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核心目标：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（高光页）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展示模型如何通过“自我感知”来控制交易，回答“怎么赚钱”的问题。</w:t>
      </w:r>
    </w:p>
    <w:p w14:paraId="0000008C">
      <w:pPr>
        <w:numPr>
          <w:ilvl w:val="0"/>
          <w:numId w:val="11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页面布局：</w:t>
      </w:r>
    </w:p>
    <w:p w14:paraId="0000008D">
      <w:pPr>
        <w:numPr>
          <w:ilvl w:val="1"/>
          <w:numId w:val="12"/>
        </w:numPr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标题：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Execution Methodology: MoE-Driven Risk Control</w:t>
      </w:r>
    </w:p>
    <w:p w14:paraId="0000008E">
      <w:pPr>
        <w:numPr>
          <w:ilvl w:val="1"/>
          <w:numId w:val="12"/>
        </w:numPr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上方：公式展示</w:t>
      </w:r>
    </w:p>
    <w:p w14:paraId="0000008F">
      <w:pPr>
        <w:numPr>
          <w:ilvl w:val="2"/>
          <w:numId w:val="13"/>
        </w:numPr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>$Pos_{t} = \mathbb{I}_{Signal} \times \mathbb{I}_{Trend} \times \textbf{Confidence Gate}$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6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.</w:t>
      </w:r>
      <w:r>
        <w:rPr>
          <w:rFonts w:hint="default" w:ascii="Times New Roman" w:hAnsi="Times New Roman" w:cs="Times New Roman"/>
          <w:rtl w:val="0"/>
        </w:rPr>
        <w:br w:type="textWrapping"/>
      </w:r>
    </w:p>
    <w:p w14:paraId="00000090">
      <w:pPr>
        <w:numPr>
          <w:ilvl w:val="1"/>
          <w:numId w:val="12"/>
        </w:numPr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下方左侧：Confidence Gate Logic</w:t>
      </w:r>
    </w:p>
    <w:p w14:paraId="00000091">
      <w:pPr>
        <w:numPr>
          <w:ilvl w:val="2"/>
          <w:numId w:val="14"/>
        </w:numPr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Rule: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If $Weight_{Volatility Expert} &gt; \text{Threshold}$, then $Pos_t = 0$ (Cash)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7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.</w:t>
      </w:r>
      <w:r>
        <w:rPr>
          <w:rFonts w:hint="default" w:ascii="Times New Roman" w:hAnsi="Times New Roman" w:cs="Times New Roman"/>
          <w:rtl w:val="0"/>
        </w:rPr>
        <w:br w:type="textWrapping"/>
      </w:r>
    </w:p>
    <w:p w14:paraId="00000092">
      <w:pPr>
        <w:numPr>
          <w:ilvl w:val="2"/>
          <w:numId w:val="14"/>
        </w:numPr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Meaning: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When the model relies heavily on the CNN expert, it detects high uncertainty/panic. We stop trading.</w:t>
      </w:r>
    </w:p>
    <w:p w14:paraId="00000093">
      <w:pPr>
        <w:numPr>
          <w:ilvl w:val="1"/>
          <w:numId w:val="12"/>
        </w:numPr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下方右侧：图表 Figure 6.2</w:t>
      </w:r>
    </w:p>
    <w:p w14:paraId="00000094">
      <w:pPr>
        <w:numPr>
          <w:ilvl w:val="2"/>
          <w:numId w:val="15"/>
        </w:numPr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>展示 Expert Gate Weights 的热力图，指着亮色区域说这是模型在“报警”。</w:t>
      </w:r>
    </w:p>
    <w:p w14:paraId="00000095">
      <w:pPr>
        <w:numPr>
          <w:ilvl w:val="0"/>
          <w:numId w:val="11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演讲话术 (Speaker Notes):</w:t>
      </w:r>
    </w:p>
    <w:p w14:paraId="00000096">
      <w:pPr>
        <w:numPr>
          <w:ilvl w:val="1"/>
          <w:numId w:val="16"/>
        </w:numPr>
        <w:spacing w:after="12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"我们不是盲目跟随预测信号。我们设计了一个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Confidence Gate（信心门控）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。大家看右图，当模型给‘波动率专家’（Volatility Expert）分配极高权重时，说明模型‘感知’到了市场正处于恐慌状态。此时，模型会自动空仓避险。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这种基于语义感知的风控，是普通黑盒模型做不到的。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"</w:t>
      </w:r>
    </w:p>
    <w:p w14:paraId="00000097">
      <w:pPr>
        <w:pStyle w:val="4"/>
        <w:spacing w:before="120" w:after="120" w:line="275" w:lineRule="auto"/>
        <w:rPr>
          <w:rFonts w:hint="default" w:ascii="Times New Roman" w:hAnsi="Times New Roman" w:eastAsia="Google Sans Text" w:cs="Times New Roman"/>
          <w:color w:val="1F1F1F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Slide 29: Net Return Performance (Profitability)</w:t>
      </w:r>
    </w:p>
    <w:p w14:paraId="00000098">
      <w:pPr>
        <w:numPr>
          <w:ilvl w:val="0"/>
          <w:numId w:val="17"/>
        </w:numPr>
        <w:spacing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核心目标：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用数据证明，扣除成本后依然赚钱。</w:t>
      </w:r>
    </w:p>
    <w:p w14:paraId="00000099">
      <w:pPr>
        <w:numPr>
          <w:ilvl w:val="0"/>
          <w:numId w:val="17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页面布局：</w:t>
      </w:r>
    </w:p>
    <w:p w14:paraId="0000009A">
      <w:pPr>
        <w:numPr>
          <w:ilvl w:val="1"/>
          <w:numId w:val="18"/>
        </w:numPr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标题：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Net Return Performance (After Transaction Costs)</w:t>
      </w:r>
    </w:p>
    <w:p w14:paraId="0000009B">
      <w:pPr>
        <w:numPr>
          <w:ilvl w:val="1"/>
          <w:numId w:val="18"/>
        </w:numPr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设置 (Setup):</w:t>
      </w:r>
    </w:p>
    <w:p w14:paraId="0000009C">
      <w:pPr>
        <w:numPr>
          <w:ilvl w:val="2"/>
          <w:numId w:val="19"/>
        </w:numPr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Strategy: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Long-Only.</w:t>
      </w:r>
    </w:p>
    <w:p w14:paraId="0000009D">
      <w:pPr>
        <w:numPr>
          <w:ilvl w:val="2"/>
          <w:numId w:val="19"/>
        </w:numPr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Costs: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5 bps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(0.05%) per side (Realistic Friction)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8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.</w:t>
      </w:r>
      <w:r>
        <w:rPr>
          <w:rFonts w:hint="default" w:ascii="Times New Roman" w:hAnsi="Times New Roman" w:cs="Times New Roman"/>
          <w:rtl w:val="0"/>
        </w:rPr>
        <w:br w:type="textWrapping"/>
      </w:r>
    </w:p>
    <w:p w14:paraId="0000009E">
      <w:pPr>
        <w:numPr>
          <w:ilvl w:val="1"/>
          <w:numId w:val="18"/>
        </w:numPr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图表：Figure 6.3(b)</w:t>
      </w:r>
    </w:p>
    <w:p w14:paraId="0000009F">
      <w:pPr>
        <w:numPr>
          <w:ilvl w:val="2"/>
          <w:numId w:val="20"/>
        </w:numPr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>柱状图对比：MoE (蓝色) vs Baseline (绿色)。</w:t>
      </w:r>
    </w:p>
    <w:p w14:paraId="000000A0">
      <w:pPr>
        <w:numPr>
          <w:ilvl w:val="1"/>
          <w:numId w:val="18"/>
        </w:numPr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关键数据：</w:t>
      </w:r>
    </w:p>
    <w:p w14:paraId="000000A1">
      <w:pPr>
        <w:numPr>
          <w:ilvl w:val="2"/>
          <w:numId w:val="21"/>
        </w:numPr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MoE Net Return: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1.66% per fold.</w:t>
      </w:r>
    </w:p>
    <w:p w14:paraId="000000A2">
      <w:pPr>
        <w:numPr>
          <w:ilvl w:val="2"/>
          <w:numId w:val="21"/>
        </w:numPr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Transformer Baseline: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1.59% per fold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9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.</w:t>
      </w:r>
      <w:r>
        <w:rPr>
          <w:rFonts w:hint="default" w:ascii="Times New Roman" w:hAnsi="Times New Roman" w:cs="Times New Roman"/>
          <w:rtl w:val="0"/>
        </w:rPr>
        <w:br w:type="textWrapping"/>
      </w:r>
    </w:p>
    <w:p w14:paraId="000000A3">
      <w:pPr>
        <w:numPr>
          <w:ilvl w:val="1"/>
          <w:numId w:val="18"/>
        </w:numPr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结论：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Even with frictions, MoE extracts superior alpha.</w:t>
      </w:r>
    </w:p>
    <w:p w14:paraId="000000A4">
      <w:pPr>
        <w:numPr>
          <w:ilvl w:val="0"/>
          <w:numId w:val="17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演讲话术 (Speaker Notes):</w:t>
      </w:r>
    </w:p>
    <w:p w14:paraId="000000A5">
      <w:pPr>
        <w:numPr>
          <w:ilvl w:val="1"/>
          <w:numId w:val="22"/>
        </w:numPr>
        <w:spacing w:after="12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>"在扣除了双边 5个基点 的真实交易成本后，我们对比了 MoE 和 Transformer 基准模型。结果显示，MoE 的平均净回报依然跑赢了基准。这证明我们的超额收益来自于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更精准的 Regime-aware 预测能力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，能够覆盖高频交易的摩擦成本。"</w:t>
      </w:r>
    </w:p>
    <w:p w14:paraId="000000A6">
      <w:pPr>
        <w:pStyle w:val="4"/>
        <w:spacing w:before="120" w:after="120" w:line="275" w:lineRule="auto"/>
        <w:rPr>
          <w:rFonts w:hint="default" w:ascii="Times New Roman" w:hAnsi="Times New Roman" w:eastAsia="Google Sans Text" w:cs="Times New Roman"/>
          <w:color w:val="1F1F1F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Slide 30: Diagnostics: Turnover &amp; Costs</w:t>
      </w:r>
    </w:p>
    <w:p w14:paraId="000000A7">
      <w:pPr>
        <w:numPr>
          <w:ilvl w:val="0"/>
          <w:numId w:val="23"/>
        </w:numPr>
        <w:spacing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核心目标：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展示交易细节，证明不是靠“过度交易”赚钱，而是靠“择时”。</w:t>
      </w:r>
    </w:p>
    <w:p w14:paraId="000000A8">
      <w:pPr>
        <w:numPr>
          <w:ilvl w:val="0"/>
          <w:numId w:val="23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页面布局：</w:t>
      </w:r>
    </w:p>
    <w:p w14:paraId="000000A9">
      <w:pPr>
        <w:numPr>
          <w:ilvl w:val="1"/>
          <w:numId w:val="24"/>
        </w:numPr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标题：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Execution Diagnostics: Quality over Quantity</w:t>
      </w:r>
    </w:p>
    <w:p w14:paraId="000000AA">
      <w:pPr>
        <w:numPr>
          <w:ilvl w:val="1"/>
          <w:numId w:val="24"/>
        </w:numPr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图表：Figure 6.1 (四格图)</w:t>
      </w:r>
    </w:p>
    <w:p w14:paraId="000000AB">
      <w:pPr>
        <w:numPr>
          <w:ilvl w:val="2"/>
          <w:numId w:val="25"/>
        </w:numPr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重点圈出右下角的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Turnover Rate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和 左下角的 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Costs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</w:p>
    <w:p w14:paraId="000000AC">
      <w:pPr>
        <w:numPr>
          <w:ilvl w:val="1"/>
          <w:numId w:val="24"/>
        </w:numPr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解读 (Key Insights):</w:t>
      </w:r>
    </w:p>
    <w:p w14:paraId="000000AD">
      <w:pPr>
        <w:numPr>
          <w:ilvl w:val="2"/>
          <w:numId w:val="26"/>
        </w:numPr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Fat-tailed Costs: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交易成本分布是肥尾的，说明大部分时间不动，少数时间集中交易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10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.</w:t>
      </w:r>
      <w:r>
        <w:rPr>
          <w:rFonts w:hint="default" w:ascii="Times New Roman" w:hAnsi="Times New Roman" w:cs="Times New Roman"/>
          <w:rtl w:val="0"/>
        </w:rPr>
        <w:br w:type="textWrapping"/>
      </w:r>
    </w:p>
    <w:p w14:paraId="000000AE">
      <w:pPr>
        <w:numPr>
          <w:ilvl w:val="2"/>
          <w:numId w:val="26"/>
        </w:numPr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Selective Trading: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The model does NOT trade continuously. It selectively exploits profitable episodes while avoiding noise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11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.</w:t>
      </w:r>
      <w:r>
        <w:rPr>
          <w:rFonts w:hint="default" w:ascii="Times New Roman" w:hAnsi="Times New Roman" w:cs="Times New Roman"/>
          <w:rtl w:val="0"/>
        </w:rPr>
        <w:br w:type="textWrapping"/>
      </w:r>
    </w:p>
    <w:p w14:paraId="000000AF">
      <w:pPr>
        <w:numPr>
          <w:ilvl w:val="0"/>
          <w:numId w:val="23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演讲话术 (Speaker Notes):</w:t>
      </w:r>
    </w:p>
    <w:p w14:paraId="000000B0">
      <w:pPr>
        <w:numPr>
          <w:ilvl w:val="1"/>
          <w:numId w:val="27"/>
        </w:numPr>
        <w:spacing w:after="12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>"为了深入诊断交易行为，我们分析了换手率（右下图）。我们发现模型的交易非常</w:t>
      </w: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有选择性 (Selective)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。它并没有频繁进出制造巨额手续费，而是只在信号非常强烈时才出手。这正是我们想要的高效交易策略。"</w:t>
      </w:r>
    </w:p>
    <w:p w14:paraId="000000B1">
      <w:pPr>
        <w:pStyle w:val="4"/>
        <w:spacing w:before="120" w:after="120" w:line="275" w:lineRule="auto"/>
        <w:rPr>
          <w:rFonts w:hint="default" w:ascii="Times New Roman" w:hAnsi="Times New Roman" w:eastAsia="Google Sans Text" w:cs="Times New Roman"/>
          <w:color w:val="1F1F1F"/>
        </w:rPr>
      </w:pPr>
      <w:bookmarkStart w:id="0" w:name="_yq76822fe39p" w:colFirst="0" w:colLast="0"/>
      <w:bookmarkEnd w:id="0"/>
      <w:r>
        <w:rPr>
          <w:rFonts w:hint="default" w:ascii="Times New Roman" w:hAnsi="Times New Roman" w:cs="Times New Roma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Slide 31: Statistical Validation (The Final Proof)</w:t>
      </w:r>
    </w:p>
    <w:p w14:paraId="000000B2">
      <w:pPr>
        <w:numPr>
          <w:ilvl w:val="0"/>
          <w:numId w:val="28"/>
        </w:numPr>
        <w:spacing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核心目标：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封死“运气好”的质疑，用统计学背书。</w:t>
      </w:r>
    </w:p>
    <w:p w14:paraId="000000B3">
      <w:pPr>
        <w:numPr>
          <w:ilvl w:val="0"/>
          <w:numId w:val="28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页面布局：</w:t>
      </w:r>
    </w:p>
    <w:p w14:paraId="000000B4">
      <w:pPr>
        <w:numPr>
          <w:ilvl w:val="1"/>
          <w:numId w:val="29"/>
        </w:numPr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标题：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Statistical Significance Verification</w:t>
      </w:r>
    </w:p>
    <w:p w14:paraId="000000B5">
      <w:pPr>
        <w:numPr>
          <w:ilvl w:val="1"/>
          <w:numId w:val="29"/>
        </w:numPr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问题：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Is the performance difference just luck?</w:t>
      </w:r>
    </w:p>
    <w:p w14:paraId="000000B6">
      <w:pPr>
        <w:numPr>
          <w:ilvl w:val="1"/>
          <w:numId w:val="29"/>
        </w:numPr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方法：</w:t>
      </w:r>
    </w:p>
    <w:p w14:paraId="000000B7">
      <w:pPr>
        <w:numPr>
          <w:ilvl w:val="2"/>
          <w:numId w:val="30"/>
        </w:numPr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>Shapiro-Wilk Test $\rightarrow$ Non-normal distribution $\rightarrow$ Use Non-parametric test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12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.</w:t>
      </w:r>
      <w:r>
        <w:rPr>
          <w:rFonts w:hint="default" w:ascii="Times New Roman" w:hAnsi="Times New Roman" w:cs="Times New Roman"/>
          <w:rtl w:val="0"/>
        </w:rPr>
        <w:br w:type="textWrapping"/>
      </w:r>
    </w:p>
    <w:p w14:paraId="000000B8">
      <w:pPr>
        <w:numPr>
          <w:ilvl w:val="2"/>
          <w:numId w:val="30"/>
        </w:numPr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Wilcoxon Signed-Rank Test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13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.</w:t>
      </w:r>
      <w:r>
        <w:rPr>
          <w:rFonts w:hint="default" w:ascii="Times New Roman" w:hAnsi="Times New Roman" w:cs="Times New Roman"/>
          <w:rtl w:val="0"/>
        </w:rPr>
        <w:br w:type="textWrapping"/>
      </w:r>
    </w:p>
    <w:p w14:paraId="000000B9">
      <w:pPr>
        <w:numPr>
          <w:ilvl w:val="1"/>
          <w:numId w:val="29"/>
        </w:numPr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结果 (Table 6.1):</w:t>
      </w:r>
    </w:p>
    <w:p w14:paraId="000000BA">
      <w:pPr>
        <w:numPr>
          <w:ilvl w:val="2"/>
          <w:numId w:val="31"/>
        </w:numPr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p-value = 0.021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(&lt; 0.05)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14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.</w:t>
      </w:r>
      <w:r>
        <w:rPr>
          <w:rFonts w:hint="default" w:ascii="Times New Roman" w:hAnsi="Times New Roman" w:cs="Times New Roman"/>
          <w:rtl w:val="0"/>
        </w:rPr>
        <w:br w:type="textWrapping"/>
      </w:r>
    </w:p>
    <w:p w14:paraId="000000BB">
      <w:pPr>
        <w:numPr>
          <w:ilvl w:val="1"/>
          <w:numId w:val="29"/>
        </w:numPr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结论：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The MoE strategy significantly outperforms the baseline at the 5% confidence level.</w:t>
      </w:r>
    </w:p>
    <w:p w14:paraId="000000BC">
      <w:pPr>
        <w:numPr>
          <w:ilvl w:val="0"/>
          <w:numId w:val="28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演讲话术 (Speaker Notes):</w:t>
      </w:r>
    </w:p>
    <w:p w14:paraId="000000BD">
      <w:pPr>
        <w:numPr>
          <w:ilvl w:val="1"/>
          <w:numId w:val="32"/>
        </w:numPr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>"最后，为了严谨起见，我们对收益差值做了统计检验。由于收益分布不是正态的，我们使用了 Wilcoxon 检验。结果 P 值为 0.021，小于 0.05 的显著性水平。这意味着，MoE 的优势在统计学上是显著的，绝非偶然。"</w:t>
      </w:r>
    </w:p>
    <w:p w14:paraId="000000BE">
      <w:pPr>
        <w:numPr>
          <w:ilvl w:val="0"/>
          <w:numId w:val="3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ascii="Times New Roman" w:hAnsi="Times New Roman" w:eastAsia="Google Sans Text" w:cs="Times New Roman"/>
          <w:b/>
          <w:bCs/>
          <w:color w:val="1F1F1F"/>
          <w:u w:val="none"/>
        </w:rPr>
      </w:pPr>
    </w:p>
    <w:p w14:paraId="000000B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28"/>
          <w:szCs w:val="28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28"/>
          <w:szCs w:val="28"/>
          <w:rtl w:val="0"/>
        </w:rPr>
        <w:t>第七部分：总结 (Conclusion)</w:t>
      </w:r>
    </w:p>
    <w:p w14:paraId="000000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="Times New Roman" w:hAnsi="Times New Roman" w:eastAsia="Google Sans Text" w:cs="Times New Roman"/>
          <w:b/>
          <w:bCs/>
          <w:color w:val="1F1F1F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时间分配：约 2 分钟</w:t>
      </w:r>
    </w:p>
    <w:p w14:paraId="000000C1">
      <w:pPr>
        <w:numPr>
          <w:ilvl w:val="0"/>
          <w:numId w:val="3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32: 结论汇总 (Conclusion)</w:t>
      </w:r>
    </w:p>
    <w:p w14:paraId="000000C2">
      <w:pPr>
        <w:numPr>
          <w:ilvl w:val="1"/>
          <w:numId w:val="3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</w:p>
    <w:p w14:paraId="000000C3">
      <w:pPr>
        <w:numPr>
          <w:ilvl w:val="2"/>
          <w:numId w:val="3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9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>成功解决了滞后悖论（高 DA）。</w:t>
      </w:r>
    </w:p>
    <w:p w14:paraId="000000C4">
      <w:pPr>
        <w:numPr>
          <w:ilvl w:val="2"/>
          <w:numId w:val="3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>异构 MoE 架构有效捕捉了不同市场状态。</w:t>
      </w:r>
    </w:p>
    <w:p w14:paraId="000000C5">
      <w:pPr>
        <w:numPr>
          <w:ilvl w:val="2"/>
          <w:numId w:val="3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>提供了可信的可解释性工具。</w:t>
      </w:r>
    </w:p>
    <w:p w14:paraId="000000C6">
      <w:pPr>
        <w:numPr>
          <w:ilvl w:val="2"/>
          <w:numId w:val="3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在考虑成本的情况下依然具备经济价值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36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C7">
      <w:pPr>
        <w:numPr>
          <w:ilvl w:val="1"/>
          <w:numId w:val="3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7</w:t>
      </w:r>
    </w:p>
    <w:p w14:paraId="000000C8">
      <w:pPr>
        <w:numPr>
          <w:ilvl w:val="0"/>
          <w:numId w:val="3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33: 局限与未来展望 (Limitations &amp; Future Work)</w:t>
      </w:r>
    </w:p>
    <w:p w14:paraId="000000C9">
      <w:pPr>
        <w:numPr>
          <w:ilvl w:val="1"/>
          <w:numId w:val="4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</w:p>
    <w:p w14:paraId="000000CA">
      <w:pPr>
        <w:numPr>
          <w:ilvl w:val="2"/>
          <w:numId w:val="4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>局限：目前只用了技术指标，未包含文本情绪。</w:t>
      </w:r>
    </w:p>
    <w:p w14:paraId="000000CB">
      <w:pPr>
        <w:numPr>
          <w:ilvl w:val="2"/>
          <w:numId w:val="4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7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展望：引入 LLM 进行基本面分析；扩展到多资产组合管理 </w:t>
      </w:r>
      <w:r>
        <w:rPr>
          <w:rFonts w:hint="default" w:ascii="Times New Roman" w:hAnsi="Times New Roman" w:eastAsia="Google Sans Text" w:cs="Times New Roman"/>
          <w:color w:val="444746"/>
          <w:sz w:val="24"/>
          <w:szCs w:val="24"/>
          <w:vertAlign w:val="superscript"/>
          <w:rtl w:val="0"/>
        </w:rPr>
        <w:t>37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CC">
      <w:pPr>
        <w:numPr>
          <w:ilvl w:val="1"/>
          <w:numId w:val="4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对应章节：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Chapter 7</w:t>
      </w:r>
    </w:p>
    <w:p w14:paraId="000000CD">
      <w:pPr>
        <w:numPr>
          <w:ilvl w:val="0"/>
          <w:numId w:val="3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Slide 30: 致谢与问答 (Q&amp;A)</w:t>
      </w:r>
    </w:p>
    <w:p w14:paraId="000000CE">
      <w:pPr>
        <w:numPr>
          <w:ilvl w:val="1"/>
          <w:numId w:val="4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rtl w:val="0"/>
        </w:rPr>
        <w:t>内容：</w: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 xml:space="preserve"> Thank you! Questions?</w:t>
      </w:r>
    </w:p>
    <w:p w14:paraId="000000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hint="default" w:ascii="Times New Roman" w:hAnsi="Times New Roman" w:eastAsia="Google Sans Text" w:cs="Times New Roman"/>
          <w:color w:val="1F1F1F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Times New Roman" w:hAnsi="Times New Roman" w:eastAsia="Google Sans Text" w:cs="Times New Roman"/>
          <w:color w:val="1F1F1F"/>
          <w:rtl w:val="0"/>
        </w:rPr>
        <w:t>这份 30 页的结构非常扎实，既覆盖了技术细节（Chapter 3），又展示了大量图表证据（Chapter 5 &amp; 6）。按这个顺序讲，逻辑非常顺畅！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0D92630-B70A-4B45-8F04-2E9D615F3F28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60C20F8E-E42C-46EA-989F-4E5152F340E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A42E492-4BAE-47A9-8706-E919522B7B30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E0C99E2-F886-4282-B1DD-C56C9EBA7B4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34E3621-E3BD-4C41-8105-68410B61DA5D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AC93621E-3734-4914-ACFB-61260B51506B}"/>
  </w:font>
  <w:font w:name="Google Sans Text">
    <w:altName w:val="Tiger Turn Winter Fo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6CBC4272-6DBC-49AF-9440-FFF8207E09F3}"/>
  </w:font>
  <w:font w:name="Tiger Turn Winter Font">
    <w:panose1 w:val="02000500000000000000"/>
    <w:charset w:val="00"/>
    <w:family w:val="auto"/>
    <w:pitch w:val="default"/>
    <w:sig w:usb0="800000A7" w:usb1="5000004A" w:usb2="00000000" w:usb3="00000000" w:csb0="20000001" w:csb1="00000000"/>
    <w:embedRegular r:id="rId8" w:fontKey="{B3D3C8DE-F648-4F0E-9AF1-7594A0D1CED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8461FADE"/>
    <w:multiLevelType w:val="multilevel"/>
    <w:tmpl w:val="8461FAD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91995D4F"/>
    <w:multiLevelType w:val="multilevel"/>
    <w:tmpl w:val="91995D4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BB64CFA9"/>
    <w:multiLevelType w:val="multilevel"/>
    <w:tmpl w:val="BB64CFA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E093A4B0"/>
    <w:multiLevelType w:val="multilevel"/>
    <w:tmpl w:val="E093A4B0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6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7">
    <w:nsid w:val="F7735DC9"/>
    <w:multiLevelType w:val="multilevel"/>
    <w:tmpl w:val="F7735DC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8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9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0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1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2">
    <w:nsid w:val="243FCF68"/>
    <w:multiLevelType w:val="multilevel"/>
    <w:tmpl w:val="243FCF68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3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4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5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6">
    <w:nsid w:val="30FC5B15"/>
    <w:multiLevelType w:val="multilevel"/>
    <w:tmpl w:val="30FC5B1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7">
    <w:nsid w:val="39A0D9AC"/>
    <w:multiLevelType w:val="multilevel"/>
    <w:tmpl w:val="39A0D9AC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8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9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0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1">
    <w:nsid w:val="4D94DA66"/>
    <w:multiLevelType w:val="multilevel"/>
    <w:tmpl w:val="4D94DA6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2">
    <w:nsid w:val="58765686"/>
    <w:multiLevelType w:val="multilevel"/>
    <w:tmpl w:val="5876568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4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5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6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7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8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9">
    <w:nsid w:val="79AA4FA4"/>
    <w:multiLevelType w:val="multilevel"/>
    <w:tmpl w:val="79AA4FA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0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1">
    <w:nsid w:val="7DEC2089"/>
    <w:multiLevelType w:val="multilevel"/>
    <w:tmpl w:val="7DEC208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8"/>
  </w:num>
  <w:num w:numId="2">
    <w:abstractNumId w:val="12"/>
  </w:num>
  <w:num w:numId="3">
    <w:abstractNumId w:val="33"/>
  </w:num>
  <w:num w:numId="4">
    <w:abstractNumId w:val="10"/>
  </w:num>
  <w:num w:numId="5">
    <w:abstractNumId w:val="7"/>
  </w:num>
  <w:num w:numId="6">
    <w:abstractNumId w:val="20"/>
  </w:num>
  <w:num w:numId="7">
    <w:abstractNumId w:val="24"/>
  </w:num>
  <w:num w:numId="8">
    <w:abstractNumId w:val="37"/>
  </w:num>
  <w:num w:numId="9">
    <w:abstractNumId w:val="19"/>
  </w:num>
  <w:num w:numId="10">
    <w:abstractNumId w:val="3"/>
  </w:num>
  <w:num w:numId="11">
    <w:abstractNumId w:val="25"/>
  </w:num>
  <w:num w:numId="12">
    <w:abstractNumId w:val="34"/>
  </w:num>
  <w:num w:numId="13">
    <w:abstractNumId w:val="11"/>
  </w:num>
  <w:num w:numId="14">
    <w:abstractNumId w:val="30"/>
  </w:num>
  <w:num w:numId="15">
    <w:abstractNumId w:val="16"/>
  </w:num>
  <w:num w:numId="16">
    <w:abstractNumId w:val="23"/>
  </w:num>
  <w:num w:numId="17">
    <w:abstractNumId w:val="14"/>
  </w:num>
  <w:num w:numId="18">
    <w:abstractNumId w:val="13"/>
  </w:num>
  <w:num w:numId="19">
    <w:abstractNumId w:val="5"/>
  </w:num>
  <w:num w:numId="20">
    <w:abstractNumId w:val="29"/>
  </w:num>
  <w:num w:numId="21">
    <w:abstractNumId w:val="35"/>
  </w:num>
  <w:num w:numId="22">
    <w:abstractNumId w:val="21"/>
  </w:num>
  <w:num w:numId="23">
    <w:abstractNumId w:val="28"/>
  </w:num>
  <w:num w:numId="24">
    <w:abstractNumId w:val="6"/>
  </w:num>
  <w:num w:numId="25">
    <w:abstractNumId w:val="40"/>
  </w:num>
  <w:num w:numId="26">
    <w:abstractNumId w:val="38"/>
  </w:num>
  <w:num w:numId="27">
    <w:abstractNumId w:val="9"/>
  </w:num>
  <w:num w:numId="28">
    <w:abstractNumId w:val="36"/>
  </w:num>
  <w:num w:numId="29">
    <w:abstractNumId w:val="4"/>
  </w:num>
  <w:num w:numId="30">
    <w:abstractNumId w:val="27"/>
  </w:num>
  <w:num w:numId="31">
    <w:abstractNumId w:val="1"/>
  </w:num>
  <w:num w:numId="32">
    <w:abstractNumId w:val="32"/>
  </w:num>
  <w:num w:numId="33">
    <w:abstractNumId w:val="41"/>
  </w:num>
  <w:num w:numId="34">
    <w:abstractNumId w:val="0"/>
  </w:num>
  <w:num w:numId="35">
    <w:abstractNumId w:val="22"/>
  </w:num>
  <w:num w:numId="36">
    <w:abstractNumId w:val="31"/>
  </w:num>
  <w:num w:numId="37">
    <w:abstractNumId w:val="17"/>
  </w:num>
  <w:num w:numId="38">
    <w:abstractNumId w:val="15"/>
  </w:num>
  <w:num w:numId="39">
    <w:abstractNumId w:val="26"/>
  </w:num>
  <w:num w:numId="40">
    <w:abstractNumId w:val="39"/>
  </w:num>
  <w:num w:numId="41">
    <w:abstractNumId w:val="8"/>
  </w:num>
  <w:num w:numId="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08B7776C"/>
    <w:rsid w:val="5B8117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2112</Words>
  <Characters>4530</Characters>
  <TotalTime>5</TotalTime>
  <ScaleCrop>false</ScaleCrop>
  <LinksUpToDate>false</LinksUpToDate>
  <CharactersWithSpaces>5050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2025-12-12T14:22:00Z</dcterms:created>
  <dc:creator>Lenovo</dc:creator>
  <cp:lastModifiedBy>有心·不负时光</cp:lastModifiedBy>
  <dcterms:modified xsi:type="dcterms:W3CDTF">2025-12-13T05:27:07Z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eyJoZGlkIjoiZmZjOTFhMThhODAwMzU0ODA1NGE1NmJlMGVjMzM3MzQiLCJ1c2VySWQiOiI3OTM1MzY0NTEifQ==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4C663F97A0C5428287CE1BD7A245530E_12</vt:lpwstr>
  </property>
</Properties>
</file>