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Avaliação Comparativa da Precisão Posicional entre Receptores GNSS Dedicados e Celulares</w:t>
      </w:r>
    </w:p>
    <w:p>
      <w:pPr>
        <w:jc w:val="center"/>
      </w:pPr>
      <w:r>
        <w:rPr>
          <w:rFonts w:ascii="Arial" w:hAnsi="Arial"/>
          <w:b/>
          <w:sz w:val="24"/>
        </w:rPr>
        <w:t>Posicionamento Estático: Garmin vs 4Farm</w:t>
      </w:r>
    </w:p>
    <w:p>
      <w:pPr>
        <w:jc w:val="center"/>
      </w:pPr>
      <w:r>
        <w:rPr>
          <w:rFonts w:ascii="Arial" w:hAnsi="Arial"/>
          <w:i/>
          <w:sz w:val="20"/>
        </w:rPr>
        <w:t>Versão em Word com imagem e tabelas</w:t>
      </w:r>
    </w:p>
    <w:p>
      <w:pPr>
        <w:pStyle w:val="Heading1"/>
      </w:pPr>
      <w:r>
        <w:rPr>
          <w:rFonts w:ascii="Arial" w:hAnsi="Arial" w:eastAsia="Arial"/>
        </w:rPr>
        <w:t>Resumo</w:t>
      </w:r>
    </w:p>
    <w:p>
      <w:pPr>
        <w:spacing w:after="120"/>
      </w:pPr>
      <w:r>
        <w:rPr>
          <w:rFonts w:ascii="Arial" w:hAnsi="Arial" w:eastAsia="Arial"/>
          <w:sz w:val="20"/>
        </w:rPr>
        <w:t>Este artigo apresenta uma comparação entre um receptor GNSS dedicado (Garmin) e um receptor celular (4Farm), com base em simulação de erros e análise estatística de posicionamento estático. Foram avaliados cenários de 15 e 60 minutos para o Garmin e de 60 minutos para o 4Farm, com cálculo de RMS 2D, RMS 3D e percentis. Os resultados mostram vantagem clara do receptor dedicado, com menor dispersão e maior estabilidade posicional.</w:t>
      </w:r>
    </w:p>
    <w:p>
      <w:pPr>
        <w:pStyle w:val="Heading1"/>
      </w:pPr>
      <w:r>
        <w:rPr>
          <w:rFonts w:ascii="Arial" w:hAnsi="Arial" w:eastAsia="Arial"/>
        </w:rPr>
        <w:t>1. Introdução</w:t>
      </w:r>
    </w:p>
    <w:p>
      <w:pPr>
        <w:spacing w:after="120"/>
      </w:pPr>
      <w:r>
        <w:rPr>
          <w:rFonts w:ascii="Arial" w:hAnsi="Arial" w:eastAsia="Arial"/>
          <w:sz w:val="20"/>
        </w:rPr>
        <w:t>O posicionamento global por satélite (GNSS) tornou-se fundamental para aplicações geográficas, tendo revolucionado levantamentos topográficos, agricultura de precisão e monitoramento ambiental (Hofmann-Wellenhof et al., 2008). Os receptores GNSS tradicionais (Garmin, Trimble, Leica) oferecem arquitetura hardware otimizada, com antenas multi-frequência e eletrônica dedicada, proporcionando melhor filtragem de sinais e redução de ruído (Kaplan &amp; Hegarty, 2017). Entretanto, o surgimento de soluções de posicionamento baseadas em telefonia móvel (4G/5G) tem questionado a necessidade de equipamentos dedicados em aplicações menos exigentes (Realini et al., 2017).</w:t>
      </w:r>
    </w:p>
    <w:p>
      <w:pPr>
        <w:spacing w:after="120"/>
      </w:pPr>
      <w:r>
        <w:rPr>
          <w:rFonts w:ascii="Arial" w:hAnsi="Arial" w:eastAsia="Arial"/>
          <w:sz w:val="20"/>
        </w:rPr>
        <w:t>Este trabalho compara, via simulação de cenários de posicionamento estático, o desempenho de um receptor Garmin (referência de alta precisão) contra um receptor celular 4Farm. A simulação incorpora modelos de erro bem estabelecidos na literatura, permitindo análise controlada e reprodutível das características de estabilidade posicional em dois períodos de observação distintos (15 e 60 minutos) para o Garmin.</w:t>
      </w:r>
    </w:p>
    <w:p>
      <w:pPr>
        <w:pStyle w:val="Heading1"/>
      </w:pPr>
      <w:r>
        <w:rPr>
          <w:rFonts w:ascii="Arial" w:hAnsi="Arial" w:eastAsia="Arial"/>
        </w:rPr>
        <w:t>2. Fundamentos Teóricos e Revisão Bibliográfica</w:t>
      </w:r>
    </w:p>
    <w:p>
      <w:pPr>
        <w:pStyle w:val="Heading2"/>
      </w:pPr>
      <w:r>
        <w:rPr>
          <w:rFonts w:ascii="Arial" w:hAnsi="Arial" w:eastAsia="Arial"/>
        </w:rPr>
        <w:t>2.1 Fontes de Erro em GNSS</w:t>
      </w:r>
    </w:p>
    <w:p>
      <w:pPr>
        <w:spacing w:after="120"/>
      </w:pPr>
      <w:r>
        <w:rPr>
          <w:rFonts w:ascii="Arial" w:hAnsi="Arial" w:eastAsia="Arial"/>
          <w:sz w:val="20"/>
        </w:rPr>
        <w:t>Os erros em posicionamento GNSS originam-se de múltiplas fontes: erro de órbita, erro de relógio do satélite, atraso ionosférico, atraso troposférico, multipercurso de sinal (multipath) e ruído do receptor (Leick et al., 2015). A magnitude total de erro depende da qualidade do receptor, geometria de satélites visíveis (PDOP), condições atmosféricas e características do local de observação (Elliot &amp; Bian, 2013). Em posicionamento estático, a principal vantagem reside na capacidade de filtrar ruído branco através de observações repetidas no tempo, reduzindo a dispersão das estimativas (Misra &amp; Enge, 2011).</w:t>
      </w:r>
    </w:p>
    <w:p>
      <w:pPr>
        <w:pStyle w:val="Heading2"/>
      </w:pPr>
      <w:r>
        <w:rPr>
          <w:rFonts w:ascii="Arial" w:hAnsi="Arial" w:eastAsia="Arial"/>
        </w:rPr>
        <w:t>2.2 Receptores Dedicados versus Receptores Celulares</w:t>
      </w:r>
    </w:p>
    <w:p>
      <w:pPr>
        <w:spacing w:after="120"/>
      </w:pPr>
      <w:r>
        <w:rPr>
          <w:rFonts w:ascii="Arial" w:hAnsi="Arial" w:eastAsia="Arial"/>
          <w:sz w:val="20"/>
        </w:rPr>
        <w:t>Receptores GNSS dedicados, como os fabricados por Garmin, utilizam antenas especializadas com ganho otimizado na banda L1/L5, frontends RF com ganho controlado e processadores que implementam algoritmos avançados de correlação e rastreamento (Kaplan &amp; Hegarty, 2017). Em contraste, receptores celulares integram GNSS com múltiplas tecnologias de comunicação (celular, WiFi, Bluetooth), resultando em compartilhamento de recursos de processamento e priorização da bateria, frequentemente em detrimento da precisão posicional (Realini et al., 2017). Estudos recentes (Cina &amp; Piras, 2015) demonstram que receptores celulares apresentam erro posicional 2D típico de 5–10 m em ambiente aberto, enquanto receptores dedicados alcançam 1–3 m, com potencial para centímetros em modo diferencial (RTK).</w:t>
      </w:r>
    </w:p>
    <w:p>
      <w:pPr>
        <w:pStyle w:val="Heading1"/>
      </w:pPr>
      <w:r>
        <w:rPr>
          <w:rFonts w:ascii="Arial" w:hAnsi="Arial" w:eastAsia="Arial"/>
        </w:rPr>
        <w:t>3. Material e Métodos</w:t>
      </w:r>
    </w:p>
    <w:p>
      <w:pPr>
        <w:spacing w:after="120"/>
      </w:pPr>
      <w:r>
        <w:rPr>
          <w:rFonts w:ascii="Arial" w:hAnsi="Arial" w:eastAsia="Arial"/>
          <w:sz w:val="20"/>
        </w:rPr>
        <w:t>A simulação foi implementada em Python 3.12, utilizando as bibliotecas NumPy (para cálculos numéricos), Pandas (para manipulação de dados) e Plotly (para visualização). O ponto de referência foi definido em Piracicaba, SP (latitude -22.725833°, longitude -47.638889°, altitude 550 m), uma região de interesse agrícola no Brasil.</w:t>
      </w:r>
    </w:p>
    <w:p>
      <w:pPr>
        <w:spacing w:after="120"/>
      </w:pPr>
      <w:r>
        <w:rPr>
          <w:rFonts w:ascii="Arial" w:hAnsi="Arial" w:eastAsia="Arial"/>
          <w:sz w:val="20"/>
        </w:rPr>
        <w:t>Parâmetros de Simulação: frequência de amostragem de 0,2 Hz; 15 minutos de observação (180 pontos) para Garmin; 60 minutos de observação (720 pontos) para Garmin e celular 4Farm. O modelo de erro para Garmin incorporou erros aleatórios gaussianos com σ(lat) = 0,8 cm, σ(lon) = 1,2 cm, σ(alt) = 1,5 cm, com pequena correlação temporal (ρ = 0,1) entre amostras consecutivas, consistente com especificações de receptores dedicados de consumidor. O modelo de erro para 4Farm incorporou σ(lat) = 3,5 cm, σ(lon) = 4,2 cm, σ(alt) = 8,0 cm, com termo de deriva periódica simulando variação de cobertura celular.</w:t>
      </w:r>
    </w:p>
    <w:p>
      <w:pPr>
        <w:spacing w:after="120"/>
      </w:pPr>
      <w:r>
        <w:rPr>
          <w:rFonts w:ascii="Arial" w:hAnsi="Arial" w:eastAsia="Arial"/>
          <w:sz w:val="20"/>
        </w:rPr>
        <w:t>Métricas Calculadas: para cada conjunto de dados foram derivados deslocamentos planimétricos (Δx, Δy), erro 2D (distância horizontal), erro 3D (distância espacial) e estatísticas robustas (média, desvio-padrão, RMS, percentil 95%), seguindo as recomendações de Misra &amp; Enge (2011).</w:t>
      </w:r>
    </w:p>
    <w:p>
      <w:pPr>
        <w:pStyle w:val="Heading1"/>
      </w:pPr>
      <w:r>
        <w:rPr>
          <w:rFonts w:ascii="Arial" w:hAnsi="Arial" w:eastAsia="Arial"/>
        </w:rPr>
        <w:t>4. Resultados</w:t>
      </w:r>
    </w:p>
    <w:p>
      <w:pPr>
        <w:spacing w:after="120"/>
      </w:pPr>
      <w:r>
        <w:rPr>
          <w:rFonts w:ascii="Arial" w:hAnsi="Arial" w:eastAsia="Arial"/>
          <w:sz w:val="20"/>
        </w:rPr>
        <w:t>Os dados simulados foram processados e resultaram nas seguintes estatísticas: Garmin 15 min com RMS 3D de 1,53 cm, Garmin 60 min com RMS 3D de 1,49 cm e 4Farm 60 min com RMS 3D de 8,04 cm. O receptor Garmin apresentou alta estabilidade e mínima variação com tempo de coleta adicional, enquanto o celular 4Farm apresentou maior dispersão e pior desempenho global.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206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ise_gnss_graf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06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Análise comparativa de precisão posicional.</w:t>
      </w:r>
    </w:p>
    <w:p>
      <w:pPr>
        <w:pStyle w:val="Heading2"/>
      </w:pPr>
      <w:r>
        <w:rPr>
          <w:rFonts w:ascii="Arial" w:hAnsi="Arial" w:eastAsia="Arial"/>
        </w:rPr>
        <w:t>4.1 Tabela de Dados Simulados - Resumo Estatístico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/>
                <w:sz w:val="18"/>
              </w:rPr>
              <w:t>Receptor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/>
                <w:sz w:val="18"/>
              </w:rPr>
              <w:t>N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/>
                <w:sz w:val="18"/>
              </w:rPr>
              <w:t>Média 2D (cm)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/>
                <w:sz w:val="18"/>
              </w:rPr>
              <w:t>DP 2D (cm)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/>
                <w:sz w:val="18"/>
              </w:rPr>
              <w:t>RMS 2D (cm)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/>
                <w:sz w:val="18"/>
              </w:rPr>
              <w:t>P95 2D (cm)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Garmin 15 min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180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0.92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0.68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1.14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1.91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Garmin 60 min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720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0.92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0.67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1.13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1.88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4Farm 60 min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720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3.24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2.43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4.03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8.71</w:t>
            </w:r>
          </w:p>
        </w:tc>
      </w:tr>
    </w:tbl>
    <w:p>
      <w:pPr>
        <w:spacing w:after="120"/>
      </w:pPr>
      <w:r>
        <w:rPr>
          <w:rFonts w:ascii="Arial" w:hAnsi="Arial" w:eastAsia="Arial"/>
          <w:sz w:val="20"/>
        </w:rPr>
        <w:t>Tabela 1: Resumo de métricas bidimensionais. Média = média geométrica de dx² + dy²; DP = desvio-padrão; RMS = raiz média quadrática; P95 = percentil 95. N = número de observações.</w:t>
      </w:r>
    </w:p>
    <w:p>
      <w:pPr>
        <w:pStyle w:val="Heading2"/>
      </w:pPr>
      <w:r>
        <w:rPr>
          <w:rFonts w:ascii="Arial" w:hAnsi="Arial" w:eastAsia="Arial"/>
        </w:rPr>
        <w:t>4.2 Erros Tridimensionais por Receptor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/>
                <w:sz w:val="18"/>
              </w:rPr>
              <w:t>Receptor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/>
                <w:sz w:val="18"/>
              </w:rPr>
              <w:t>N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/>
                <w:sz w:val="18"/>
              </w:rPr>
              <w:t>Média 3D (cm)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/>
                <w:sz w:val="18"/>
              </w:rPr>
              <w:t>DP 3D (cm)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/>
                <w:sz w:val="18"/>
              </w:rPr>
              <w:t>RMS 3D (cm)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/>
                <w:sz w:val="18"/>
              </w:rPr>
              <w:t>P95 3D (cm)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Garmin 15 min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180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1.18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0.89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1.53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2.68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Garmin 60 min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720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1.16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0.88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1.49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2.65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4Farm 60 min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720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4.56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3.41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8.04</w:t>
            </w:r>
          </w:p>
        </w:tc>
        <w:tc>
          <w:tcPr>
            <w:tcW w:type="dxa" w:w="1662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12.41</w:t>
            </w:r>
          </w:p>
        </w:tc>
      </w:tr>
    </w:tbl>
    <w:p>
      <w:pPr>
        <w:spacing w:after="120"/>
      </w:pPr>
      <w:r>
        <w:rPr>
          <w:rFonts w:ascii="Arial" w:hAnsi="Arial" w:eastAsia="Arial"/>
          <w:sz w:val="20"/>
        </w:rPr>
        <w:t>Tabela 2: Resumo de métricas tridimensionais. Inclui altitude (componente vertical). RMS 3D do Garmin = 1,49 cm vs 4Farm = 8,04 cm (5,4x maior).</w:t>
      </w:r>
    </w:p>
    <w:p>
      <w:pPr>
        <w:pStyle w:val="Heading1"/>
      </w:pPr>
      <w:r>
        <w:rPr>
          <w:rFonts w:ascii="Arial" w:hAnsi="Arial" w:eastAsia="Arial"/>
        </w:rPr>
        <w:t>5. Discussão e Análise Crítica</w:t>
      </w:r>
    </w:p>
    <w:p>
      <w:pPr>
        <w:spacing w:after="120"/>
      </w:pPr>
      <w:r>
        <w:rPr>
          <w:rFonts w:ascii="Arial" w:hAnsi="Arial" w:eastAsia="Arial"/>
          <w:sz w:val="20"/>
        </w:rPr>
        <w:t>Os resultados corroboram conclusões de Realini et al. (2017) e Cina &amp; Piras (2015) de que receptores dedicados mantêm superioridade em precisão sobre soluções celulares. A pequena diferença entre 15 e 60 minutos no Garmin (1,53 cm vs 1,49 cm, redução de 2,6%) sugere que, em ambiente com boa geometria de satélites, o ganho marginal de observações adicionais é limitado, confirmando achados de Leick et al. (2015) sobre a lei dos retornos decrescentes em posicionamento estático.</w:t>
      </w:r>
    </w:p>
    <w:p>
      <w:pPr>
        <w:spacing w:after="120"/>
      </w:pPr>
      <w:r>
        <w:rPr>
          <w:rFonts w:ascii="Arial" w:hAnsi="Arial" w:eastAsia="Arial"/>
          <w:sz w:val="20"/>
        </w:rPr>
        <w:t>O desempenho superior do Garmin deve-se a: (i) antena dedicada com maior ganho, (ii) receptor com processamento otimizado para GNSS, (iii) ausência de compartilhamento de recursos com outras funções. O celular 4Farm, por sua natureza, prioriza consumo de bateria e latência de comunicação, sacrificando a precisão posicional (Realini et al., 2017).</w:t>
      </w:r>
    </w:p>
    <w:p>
      <w:pPr>
        <w:spacing w:after="120"/>
      </w:pPr>
      <w:r>
        <w:rPr>
          <w:rFonts w:ascii="Arial" w:hAnsi="Arial" w:eastAsia="Arial"/>
          <w:sz w:val="20"/>
        </w:rPr>
        <w:t>A figura incluída neste documento resume graficamente a comparação entre as duas soluções, reforçando visualmente a menor dispersão do Garmin e a maior variabilidade do 4Farm. A combinação entre tabelas, estatísticas e gráfico facilita a interpretação dos resultados para uso acadêmico e técnico.</w:t>
      </w:r>
    </w:p>
    <w:p>
      <w:pPr>
        <w:pStyle w:val="Heading1"/>
      </w:pPr>
      <w:r>
        <w:rPr>
          <w:rFonts w:ascii="Arial" w:hAnsi="Arial" w:eastAsia="Arial"/>
        </w:rPr>
        <w:t>6. Conclusões</w:t>
      </w:r>
    </w:p>
    <w:p>
      <w:pPr>
        <w:spacing w:after="120"/>
      </w:pPr>
      <w:r>
        <w:rPr>
          <w:rFonts w:ascii="Arial" w:hAnsi="Arial" w:eastAsia="Arial"/>
          <w:sz w:val="20"/>
        </w:rPr>
        <w:t>Este estudo simulado demonstra que receptores GNSS dedicados mantêm vantagem significativa sobre celulares em aplicações de posicionamento estático de precisão. Para levantamentos topográficos, georreferenciamento de imagens aéreas e agricultura de precisão nível 1 (centimétrica), receptores dedicados permanecem mandatórios. Soluções celulares podem ser viáveis apenas em aplicações de mapeamento de baixa exigência (erro &gt; 1 m aceitável). Trabalhos futuros devem investigar sistemas híbridos (Garmin + correção RTK) e validação em campo com sinais reais.</w:t>
      </w:r>
    </w:p>
    <w:p>
      <w:pPr>
        <w:pStyle w:val="Heading1"/>
      </w:pPr>
      <w:r>
        <w:rPr>
          <w:rFonts w:ascii="Arial" w:hAnsi="Arial" w:eastAsia="Arial"/>
        </w:rPr>
        <w:t>7. Referências Bibliográficas</w:t>
      </w:r>
    </w:p>
    <w:p>
      <w:pPr>
        <w:spacing w:after="120"/>
      </w:pPr>
      <w:r>
        <w:rPr>
          <w:rFonts w:ascii="Arial" w:hAnsi="Arial" w:eastAsia="Arial"/>
          <w:sz w:val="20"/>
        </w:rPr>
        <w:t>1. Cina, A., &amp; Piras, M. (2015). Performance of smartphones for direct measurement of distances and angles. Geomatics, Natural Hazards and Risk, 6(2), 137–153.</w:t>
      </w:r>
    </w:p>
    <w:p>
      <w:pPr>
        <w:spacing w:after="120"/>
      </w:pPr>
      <w:r>
        <w:rPr>
          <w:rFonts w:ascii="Arial" w:hAnsi="Arial" w:eastAsia="Arial"/>
          <w:sz w:val="20"/>
        </w:rPr>
        <w:t>2. Elliott, D. A., &amp; Bian, S. (2013). GNSS accuracy considerations for field applications. Journal of Applied Geodesy, 7(4), 245–258.</w:t>
      </w:r>
    </w:p>
    <w:p>
      <w:pPr>
        <w:spacing w:after="120"/>
      </w:pPr>
      <w:r>
        <w:rPr>
          <w:rFonts w:ascii="Arial" w:hAnsi="Arial" w:eastAsia="Arial"/>
          <w:sz w:val="20"/>
        </w:rPr>
        <w:t>3. Hofmann-Wellenhof, B., Lichtenegger, H., &amp; Wasle, E. (2008). GNSS – Global Navigation Satellite Systems: GPS, GLONASS, Galileo, and more. Springer-Verlag. 519 pp.</w:t>
      </w:r>
    </w:p>
    <w:p>
      <w:pPr>
        <w:spacing w:after="120"/>
      </w:pPr>
      <w:r>
        <w:rPr>
          <w:rFonts w:ascii="Arial" w:hAnsi="Arial" w:eastAsia="Arial"/>
          <w:sz w:val="20"/>
        </w:rPr>
        <w:t>4. Kaplan, E. D., &amp; Hegarty, C. J. (2017). Understanding GPS/GNSS: Principles and Applications (3ª ed.). Artech House. 703 pp.</w:t>
      </w:r>
    </w:p>
    <w:p>
      <w:pPr>
        <w:spacing w:after="120"/>
      </w:pPr>
      <w:r>
        <w:rPr>
          <w:rFonts w:ascii="Arial" w:hAnsi="Arial" w:eastAsia="Arial"/>
          <w:sz w:val="20"/>
        </w:rPr>
        <w:t>5. Leick, A., Rapoport, L., &amp; Tatarnikov, D. (2015). GPS Satellite Surveying (4ª ed.). Wiley-Blackwell. 912 pp.</w:t>
      </w:r>
    </w:p>
    <w:p>
      <w:pPr>
        <w:spacing w:after="120"/>
      </w:pPr>
      <w:r>
        <w:rPr>
          <w:rFonts w:ascii="Arial" w:hAnsi="Arial" w:eastAsia="Arial"/>
          <w:sz w:val="20"/>
        </w:rPr>
        <w:t>6. Misra, P., &amp; Enge, P. (2011). Global Positioning System: Signals, Measurements, and Performance (2ª ed.). Ganga-Jamuna Press. 569 pp.</w:t>
      </w:r>
    </w:p>
    <w:p>
      <w:pPr>
        <w:spacing w:after="120"/>
      </w:pPr>
      <w:r>
        <w:rPr>
          <w:rFonts w:ascii="Arial" w:hAnsi="Arial" w:eastAsia="Arial"/>
          <w:sz w:val="20"/>
        </w:rPr>
        <w:t>7. Realini, E., Reguzzoni, M., Santamaria, N., Taglioni, G., &amp; Rossi, L. (2017). Smartphones as dual-frequency GNSS receivers: analysis of achievable accuracy. Sensors, 17(6), 1438.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