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Capítulo 8 — Validação, interpretação, análise espacial e transferência</w:t>
      </w:r>
    </w:p>
    <w:p>
      <w:r>
        <w:t>Material de treinamento — Data Science para Ciências Agroambientais</w:t>
      </w:r>
    </w:p>
    <w:p>
      <w:r>
        <w:t>Validação deve representar o cenário de uso. Métricas de regressão:</w:t>
        <w:br/>
        <w:t>R²: proporção da variabilidade explicada no conjunto avaliado.</w:t>
        <w:br/>
        <w:t>RMSE: raiz do erro quadrático médio, na unidade do atributo.</w:t>
        <w:br/>
        <w:t>MAE: erro absoluto médio.</w:t>
        <w:br/>
        <w:t>RPIQ: razão entre a amplitude interquartil e o RMSE; deve ser interpretado em conjunto com outras métricas.</w:t>
      </w:r>
    </w:p>
    <w:p>
      <w:r>
        <w:t>Resíduos:</w:t>
        <w:br/>
        <w:t>Avaliar distribuição, viés, heterocedasticidade e padrões espaciais.</w:t>
      </w:r>
    </w:p>
    <w:p>
      <w:r>
        <w:t>SHAP:</w:t>
        <w:br/>
        <w:t>Permite investigar a contribuição das variáveis para as previsões de modelos compatíveis. A interpretação deve ser apresentada como contribuição do modelo, não como prova de causalidade.</w:t>
      </w:r>
    </w:p>
    <w:p>
      <w:r>
        <w:t>Análise espacial:</w:t>
        <w:br/>
        <w:t>Quando coordenadas e dados ambientais estiverem disponíveis, integrar previsões ao GIS. É necessário verificar dependência espacial e representatividade do conjunto de treinamento.</w:t>
      </w:r>
    </w:p>
    <w:p>
      <w:r>
        <w:t>Transferência:</w:t>
        <w:br/>
        <w:t>Ao aplicar o modelo em outro sensor, região ou condição de aquisição, verificar compatibilidade espectral, população-alvo e domínio de covariáveis.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