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Метакогнитивный контроль агента на основе CRMN</w:t>
      </w:r>
    </w:p>
    <w:p>
      <w:pPr>
        <w:pStyle w:val="Heading1"/>
      </w:pPr>
      <w:r>
        <w:t>Постановка задачи</w:t>
      </w:r>
    </w:p>
    <w:p>
      <w:pPr>
        <w:jc w:val="both"/>
      </w:pPr>
      <w:r>
        <w:t>Цель работы — разработать LLM-агента, который оценивает надёжность собственных представлений задачи и корректирует действия при обнаружении ошибок. В последовательных задачах ошибочная оценка состояния или преждевременное завершение подцели могут привести к неудаче всего плана. Исследуемая когнитивная функция — метакогнитивный контроль. Проверяемая гипотеза: выбор представлений по их согласованности с наблюдениями повышает успешность агента при сопоставимом вычислительном бюджете.</w:t>
      </w:r>
    </w:p>
    <w:p>
      <w:pPr>
        <w:pStyle w:val="Heading1"/>
      </w:pPr>
      <w:r>
        <w:t>Подход</w:t>
      </w:r>
    </w:p>
    <w:p>
      <w:pPr>
        <w:jc w:val="both"/>
      </w:pPr>
      <w:r>
        <w:t>Теоретической основой служит Cognitive Reality Monitoring Network — CRMN, предложенная Kawato и Cortese [1, 2]. Планируется её инженерная адаптация для агента с фиксированной LLM. Агент поддерживает два представления: карту объектов и условий, а также последовательность подцелей. Для каждого представления формируются пары преобразований: построение представления из наблюдений и восстановление из него значимых фактов. Контроллер учитывает ошибки восстановления и предсказания последствий действий, вычисляет веса надёжности и выбирает представление для следующего шага. При частичной наблюдаемости неизвестные факты отделяются от опровергнутых. Предполагаемый самостоятельный вклад — конкретная архитектура адаптации, правила оценки текстовых представлений и их экспериментальная проверка.</w:t>
      </w:r>
    </w:p>
    <w:p>
      <w:pPr>
        <w:pStyle w:val="Heading1"/>
      </w:pPr>
      <w:r>
        <w:t>План работ</w:t>
      </w:r>
    </w:p>
    <w:p>
      <w:pPr>
        <w:spacing w:after="60"/>
        <w:ind w:left="259" w:hanging="259"/>
        <w:jc w:val="both"/>
      </w:pPr>
      <w:r>
        <w:t>1. Уточнить отличие адаптации от CRMN и существующих методов контроля и планирования; зафиксировать исследовательскую гипотезу.</w:t>
      </w:r>
    </w:p>
    <w:p>
      <w:pPr>
        <w:spacing w:after="60"/>
        <w:ind w:left="259" w:hanging="259"/>
        <w:jc w:val="both"/>
      </w:pPr>
      <w:r>
        <w:t>2. Освоить три бенчмарка: ALFWorld для бытовых задач с несколькими этапами; TextCraft для изготовления предметов с зависимостями и учётом ресурсов; BabyAI-Text для навигации и контроля последовательности подцелей при частичной наблюдаемости.</w:t>
      </w:r>
    </w:p>
    <w:p>
      <w:pPr>
        <w:spacing w:after="60"/>
        <w:ind w:left="259" w:hanging="259"/>
        <w:jc w:val="both"/>
      </w:pPr>
      <w:r>
        <w:t>3. Выбрать и воспроизвести не менее двух сильных современных агентов. Кандидаты — MAP и ALMA; их интерфейсы потребуется адаптировать для BabyAI-Text, а ALMA также для TextCraft. Провести пилот для выбора доступной модели OpenAI и сложности задач.</w:t>
      </w:r>
    </w:p>
    <w:p>
      <w:pPr>
        <w:spacing w:after="60"/>
        <w:ind w:left="259" w:hanging="259"/>
        <w:jc w:val="both"/>
      </w:pPr>
      <w:r>
        <w:t>4. Реализовать контроллер и проверить его на отдельной выборке. Сравнить агентов на одинаковых тестовых заданиях и при сопоставимых бюджетах; провести эксперименты с отключением контроллера и отдельных сигналов.</w:t>
      </w:r>
    </w:p>
    <w:p>
      <w:pPr>
        <w:spacing w:after="60"/>
        <w:ind w:left="259" w:hanging="259"/>
        <w:jc w:val="both"/>
      </w:pPr>
      <w:r>
        <w:t>5. Проанализировать долю решённых задач, число действий, расход токенов и типы ошибок; оценить неопределённость результатов и подготовить научную статью.</w:t>
      </w:r>
    </w:p>
    <w:p>
      <w:pPr>
        <w:pStyle w:val="Heading1"/>
      </w:pPr>
      <w:r>
        <w:t>Ожидаемые результаты</w:t>
      </w:r>
    </w:p>
    <w:p>
      <w:pPr>
        <w:jc w:val="both"/>
      </w:pPr>
      <w:r>
        <w:t>Ожидается получить воспроизводимый прототип агента и сравнительную оценку на трёх бенчмарках. Предполагается сократить ошибки состояния и последовательности подцелей и повысить успешность относительно агента без контроллера. Эксперименты должны установить вклад механизма и соотношение успешности и вычислительной стоимости по сравнению с бейзлайнами. Итоговые материалы — код, протокол экспериментов, таблицы результатов и научная статья.</w:t>
      </w:r>
    </w:p>
    <w:p>
      <w:pPr>
        <w:spacing w:before="100" w:after="20"/>
      </w:pPr>
      <w:r>
        <w:rPr>
          <w:b/>
          <w:sz w:val="19"/>
        </w:rPr>
        <w:t>Теоретическая основа</w:t>
      </w:r>
    </w:p>
    <w:p>
      <w:pPr>
        <w:spacing w:after="20" w:line="240" w:lineRule="auto"/>
      </w:pPr>
      <w:hyperlink r:id="rId9">
        <w:r>
          <w:rPr>
            <w:rFonts w:ascii="Times New Roman" w:hAnsi="Times New Roman"/>
            <w:sz w:val="19"/>
            <w:color w:val="000000"/>
          </w:rPr>
          <w:t>[1] Kawato M., Cortese A. From internal models toward metacognitive AI. 2021.</w:t>
        </w:r>
      </w:hyperlink>
    </w:p>
    <w:p>
      <w:pPr>
        <w:spacing w:after="20" w:line="240" w:lineRule="auto"/>
      </w:pPr>
      <w:hyperlink r:id="rId10">
        <w:r>
          <w:rPr>
            <w:rFonts w:ascii="Times New Roman" w:hAnsi="Times New Roman"/>
            <w:sz w:val="19"/>
            <w:color w:val="000000"/>
          </w:rPr>
          <w:t>[2] Cortese A., Kawato M. The cognitive reality monitoring network and theories of consciousness. 2024.</w:t>
        </w:r>
      </w:hyperlink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100"/>
    </w:pPr>
    <w:rPr>
      <w:rFonts w:ascii="Times New Roman" w:hAnsi="Times New Roman" w:eastAsia="Times New Roman" w:cs="Times New Roman"/>
      <w:color w:val="000000"/>
      <w:sz w:val="23"/>
      <w:u w:val="none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8"/>
      <w:u w:val="none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  <w:u w:val="none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52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  <w:u w:val="none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  <w:u w:val="none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07/s00422-021-00904-7" TargetMode="External"/><Relationship Id="rId10" Type="http://schemas.openxmlformats.org/officeDocument/2006/relationships/hyperlink" Target="https://doi.org/10.1016/j.neures.2024.01.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Метакогнитивный контроль агента на основе CRMN</dc:title>
  <dc:subject>Постановка задачи подход план работ и ожидаемые результаты курсовой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