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9AADB">
      <w:pPr>
        <w:pStyle w:val="17"/>
      </w:pPr>
      <w:r>
        <w:object>
          <v:shape id="_x0000_i1025" o:spt="75" type="#_x0000_t75" style="height:77.15pt;width:304.3pt;" o:ole="t" filled="f" o:preferrelative="t" stroked="f" coordsize="21600,21600">
            <v:path/>
            <v:fill on="f" focussize="0,0"/>
            <v:stroke on="f"/>
            <v:imagedata r:id="rId5" gain="69719f" blacklevel="1966f" grayscale="t" bilevel="t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4">
            <o:LockedField>false</o:LockedField>
          </o:OLEObject>
        </w:object>
      </w:r>
    </w:p>
    <w:p w14:paraId="7185F49F"/>
    <w:p w14:paraId="0C3A31A2"/>
    <w:p w14:paraId="419FAF30"/>
    <w:p w14:paraId="66B909ED"/>
    <w:p w14:paraId="5B4C5202"/>
    <w:p w14:paraId="0E818652"/>
    <w:p w14:paraId="3D736A36">
      <w:pPr>
        <w:tabs>
          <w:tab w:val="left" w:pos="840"/>
        </w:tabs>
      </w:pPr>
    </w:p>
    <w:p w14:paraId="26506B4E">
      <w:pPr>
        <w:tabs>
          <w:tab w:val="left" w:pos="840"/>
        </w:tabs>
      </w:pPr>
    </w:p>
    <w:p w14:paraId="7D271E0C">
      <w:pPr>
        <w:tabs>
          <w:tab w:val="left" w:pos="840"/>
        </w:tabs>
        <w:jc w:val="center"/>
        <w:rPr>
          <w:rFonts w:hint="eastAsia" w:ascii="微软雅黑" w:hAnsi="微软雅黑" w:eastAsia="微软雅黑"/>
          <w:b/>
          <w:bCs/>
          <w:sz w:val="96"/>
          <w:szCs w:val="96"/>
        </w:rPr>
      </w:pPr>
      <w:r>
        <w:rPr>
          <w:rFonts w:hint="eastAsia" w:ascii="微软雅黑" w:hAnsi="微软雅黑" w:eastAsia="微软雅黑"/>
          <w:b/>
          <w:bCs/>
          <w:sz w:val="96"/>
          <w:szCs w:val="96"/>
        </w:rPr>
        <w:t>需求分析报告</w:t>
      </w:r>
    </w:p>
    <w:p w14:paraId="0D8290B8">
      <w:pPr>
        <w:tabs>
          <w:tab w:val="left" w:pos="840"/>
        </w:tabs>
        <w:rPr>
          <w:rFonts w:hint="eastAsia" w:ascii="微软雅黑" w:hAnsi="微软雅黑" w:eastAsia="微软雅黑"/>
          <w:b/>
          <w:bCs/>
          <w:sz w:val="32"/>
          <w:szCs w:val="32"/>
        </w:rPr>
      </w:pPr>
    </w:p>
    <w:p w14:paraId="61E24135">
      <w:pPr>
        <w:tabs>
          <w:tab w:val="left" w:pos="840"/>
        </w:tabs>
        <w:rPr>
          <w:rFonts w:hint="eastAsia" w:ascii="微软雅黑" w:hAnsi="微软雅黑" w:eastAsia="微软雅黑"/>
          <w:b/>
          <w:bCs/>
          <w:sz w:val="32"/>
          <w:szCs w:val="32"/>
        </w:rPr>
      </w:pPr>
    </w:p>
    <w:p w14:paraId="057A0D4B">
      <w:pPr>
        <w:tabs>
          <w:tab w:val="left" w:pos="840"/>
        </w:tabs>
        <w:rPr>
          <w:rFonts w:hint="eastAsia" w:ascii="微软雅黑" w:hAnsi="微软雅黑" w:eastAsia="微软雅黑"/>
          <w:b/>
          <w:bCs/>
          <w:sz w:val="32"/>
          <w:szCs w:val="32"/>
        </w:rPr>
      </w:pPr>
    </w:p>
    <w:p w14:paraId="262F7BA9">
      <w:pPr>
        <w:tabs>
          <w:tab w:val="left" w:pos="840"/>
        </w:tabs>
      </w:pP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A2A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 w14:paraId="047BC8D6">
            <w:pPr>
              <w:tabs>
                <w:tab w:val="left" w:pos="840"/>
              </w:tabs>
              <w:rPr>
                <w:position w:val="-52"/>
                <w:sz w:val="44"/>
                <w:szCs w:val="44"/>
              </w:rPr>
            </w:pPr>
            <w:r>
              <w:rPr>
                <w:rFonts w:hint="eastAsia"/>
                <w:spacing w:val="293"/>
                <w:kern w:val="0"/>
                <w:position w:val="-52"/>
                <w:sz w:val="44"/>
                <w:szCs w:val="44"/>
                <w:fitText w:val="3520" w:id="1112615515"/>
              </w:rPr>
              <w:t>项目名</w:t>
            </w:r>
            <w:r>
              <w:rPr>
                <w:rFonts w:hint="eastAsia"/>
                <w:spacing w:val="1"/>
                <w:kern w:val="0"/>
                <w:position w:val="-52"/>
                <w:sz w:val="44"/>
                <w:szCs w:val="44"/>
                <w:fitText w:val="3520" w:id="1112615515"/>
              </w:rPr>
              <w:t>称</w:t>
            </w:r>
            <w:r>
              <w:rPr>
                <w:rFonts w:hint="eastAsia"/>
                <w:position w:val="-52"/>
                <w:sz w:val="44"/>
                <w:szCs w:val="44"/>
              </w:rPr>
              <w:t>：</w:t>
            </w:r>
          </w:p>
        </w:tc>
        <w:tc>
          <w:tcPr>
            <w:tcW w:w="4261" w:type="dxa"/>
            <w:tcBorders>
              <w:bottom w:val="single" w:color="auto" w:sz="8" w:space="0"/>
            </w:tcBorders>
            <w:shd w:val="clear" w:color="auto" w:fill="auto"/>
            <w:noWrap w:val="0"/>
            <w:vAlign w:val="top"/>
          </w:tcPr>
          <w:p w14:paraId="33898457">
            <w:pPr>
              <w:tabs>
                <w:tab w:val="left" w:pos="840"/>
              </w:tabs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交大实验室危险气体</w:t>
            </w:r>
          </w:p>
          <w:p w14:paraId="6BF33876">
            <w:pPr>
              <w:tabs>
                <w:tab w:val="left" w:pos="840"/>
              </w:tabs>
              <w:jc w:val="center"/>
              <w:rPr>
                <w:position w:val="-52"/>
              </w:rPr>
            </w:pPr>
            <w:r>
              <w:rPr>
                <w:rFonts w:hint="eastAsia"/>
                <w:sz w:val="32"/>
                <w:szCs w:val="32"/>
              </w:rPr>
              <w:t>实时监测与预警系统</w:t>
            </w:r>
          </w:p>
        </w:tc>
      </w:tr>
      <w:tr w14:paraId="789593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noWrap w:val="0"/>
            <w:vAlign w:val="top"/>
          </w:tcPr>
          <w:p w14:paraId="7B196E8E">
            <w:pPr>
              <w:tabs>
                <w:tab w:val="left" w:pos="840"/>
              </w:tabs>
              <w:rPr>
                <w:position w:val="-52"/>
                <w:sz w:val="44"/>
                <w:szCs w:val="44"/>
              </w:rPr>
            </w:pPr>
            <w:r>
              <w:rPr>
                <w:rFonts w:hint="eastAsia"/>
                <w:spacing w:val="550"/>
                <w:kern w:val="0"/>
                <w:position w:val="-52"/>
                <w:sz w:val="44"/>
                <w:szCs w:val="44"/>
                <w:fitText w:val="3520" w:id="2047560992"/>
              </w:rPr>
              <w:t>撰写</w:t>
            </w:r>
            <w:r>
              <w:rPr>
                <w:rFonts w:hint="eastAsia"/>
                <w:spacing w:val="0"/>
                <w:kern w:val="0"/>
                <w:position w:val="-52"/>
                <w:sz w:val="44"/>
                <w:szCs w:val="44"/>
                <w:fitText w:val="3520" w:id="2047560992"/>
              </w:rPr>
              <w:t>人</w:t>
            </w:r>
            <w:r>
              <w:rPr>
                <w:rFonts w:hint="eastAsia"/>
                <w:position w:val="-52"/>
                <w:sz w:val="44"/>
                <w:szCs w:val="44"/>
              </w:rPr>
              <w:t>：</w:t>
            </w:r>
          </w:p>
        </w:tc>
        <w:tc>
          <w:tcPr>
            <w:tcW w:w="4261" w:type="dxa"/>
            <w:tcBorders>
              <w:top w:val="single" w:color="auto" w:sz="8" w:space="0"/>
              <w:bottom w:val="single" w:color="auto" w:sz="8" w:space="0"/>
            </w:tcBorders>
            <w:shd w:val="clear" w:color="auto" w:fill="auto"/>
            <w:noWrap w:val="0"/>
            <w:vAlign w:val="top"/>
          </w:tcPr>
          <w:p w14:paraId="2D235049">
            <w:pPr>
              <w:tabs>
                <w:tab w:val="left" w:pos="840"/>
              </w:tabs>
              <w:jc w:val="center"/>
              <w:rPr>
                <w:position w:val="-52"/>
              </w:rPr>
            </w:pPr>
            <w:r>
              <w:rPr>
                <w:rFonts w:hint="eastAsia"/>
                <w:position w:val="-52"/>
                <w:sz w:val="32"/>
                <w:szCs w:val="40"/>
              </w:rPr>
              <w:t>杨敏龙</w:t>
            </w:r>
          </w:p>
        </w:tc>
      </w:tr>
    </w:tbl>
    <w:p w14:paraId="2DA36D5F">
      <w:pPr>
        <w:tabs>
          <w:tab w:val="left" w:pos="840"/>
        </w:tabs>
      </w:pPr>
    </w:p>
    <w:p w14:paraId="38CDCD02">
      <w:pPr>
        <w:tabs>
          <w:tab w:val="left" w:pos="840"/>
        </w:tabs>
      </w:pPr>
    </w:p>
    <w:p w14:paraId="0205F794">
      <w:pPr>
        <w:tabs>
          <w:tab w:val="left" w:pos="840"/>
        </w:tabs>
      </w:pPr>
    </w:p>
    <w:p w14:paraId="7C8D8A8B">
      <w:pPr>
        <w:tabs>
          <w:tab w:val="left" w:pos="840"/>
        </w:tabs>
      </w:pPr>
    </w:p>
    <w:p w14:paraId="2CF3DFB6"/>
    <w:p w14:paraId="2500B8EE"/>
    <w:p w14:paraId="6D67A3D2"/>
    <w:p w14:paraId="771A735E"/>
    <w:p w14:paraId="68359AEA"/>
    <w:p w14:paraId="336495F9"/>
    <w:p w14:paraId="4213378E"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6715"/>
        <w15:color w:val="DBDBDB"/>
        <w:docPartObj>
          <w:docPartGallery w:val="Table of Contents"/>
          <w:docPartUnique/>
        </w:docPartObj>
      </w:sdtPr>
      <w:sdtEndPr>
        <w:rPr>
          <w:rFonts w:hint="eastAsia" w:ascii="楷体_GB2312" w:hAnsi="Times New Roman" w:eastAsia="楷体_GB2312" w:cs="Times New Roman"/>
          <w:kern w:val="2"/>
          <w:sz w:val="24"/>
          <w:szCs w:val="36"/>
          <w:lang w:val="en-US" w:eastAsia="zh-CN" w:bidi="ar-SA"/>
        </w:rPr>
      </w:sdtEndPr>
      <w:sdtContent>
        <w:p w14:paraId="36244466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sz w:val="24"/>
              <w:szCs w:val="32"/>
            </w:rPr>
          </w:pPr>
          <w:r>
            <w:rPr>
              <w:rFonts w:ascii="宋体" w:hAnsi="宋体" w:eastAsia="宋体"/>
              <w:sz w:val="24"/>
              <w:szCs w:val="32"/>
            </w:rPr>
            <w:t>目录</w:t>
          </w:r>
        </w:p>
        <w:p w14:paraId="400D53EF"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TOC \o "1-4" \h \u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_Toc964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hAnsi="宋体" w:eastAsia="楷体_GB2312"/>
              <w:sz w:val="24"/>
              <w:szCs w:val="24"/>
            </w:rPr>
            <w:t>1.引言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3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3D652FE2"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_Toc3720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24"/>
            </w:rPr>
            <w:t>2. 需求概述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3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7800532D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_Toc31441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24"/>
            </w:rPr>
            <w:t>2.1 目标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3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2292FF4B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_Toc9958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24"/>
            </w:rPr>
            <w:t>2.2 用户类和特征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3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2A6680B2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_Toc19405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24"/>
            </w:rPr>
            <w:t>2.3 运行环境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3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5FC9DC6A"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_Toc11734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24"/>
            </w:rPr>
            <w:t>3. 功能需求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3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2C468EC4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_Toc28906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24"/>
            </w:rPr>
            <w:t>3.1 确定执行者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4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600299F4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_Toc6608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24"/>
            </w:rPr>
            <w:t>3.2 确定用例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5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3DF1589C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_Toc32684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24"/>
            </w:rPr>
            <w:t>3.3 编写用例文档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5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1288F224"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_Toc18337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hAnsi="宋体" w:eastAsia="楷体_GB2312"/>
              <w:sz w:val="24"/>
              <w:szCs w:val="24"/>
            </w:rPr>
            <w:t>4.非功能需求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7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6510CEB3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_Toc29078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hAnsi="宋体" w:eastAsia="楷体_GB2312"/>
              <w:sz w:val="24"/>
              <w:szCs w:val="24"/>
            </w:rPr>
            <w:t>4.1 性能需求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7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3C29C459">
          <w:pPr>
            <w:pStyle w:val="10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_Toc25321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hAnsi="宋体" w:eastAsia="楷体_GB2312"/>
              <w:sz w:val="24"/>
              <w:szCs w:val="24"/>
            </w:rPr>
            <w:t>4.2 安全性需求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7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4ED57FEE"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_Toc9040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32"/>
            </w:rPr>
            <w:t>5.故障处理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8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35B0052A"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32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begin"/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instrText xml:space="preserve"> HYPERLINK \l _Toc16168 </w:instrTex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separate"/>
          </w:r>
          <w:r>
            <w:rPr>
              <w:rFonts w:hint="eastAsia" w:ascii="楷体_GB2312" w:eastAsia="楷体_GB2312"/>
              <w:sz w:val="24"/>
              <w:szCs w:val="24"/>
            </w:rPr>
            <w:t>6.外部接口需求</w:t>
          </w:r>
          <w:r>
            <w:rPr>
              <w:sz w:val="24"/>
              <w:szCs w:val="32"/>
            </w:rPr>
            <w:tab/>
          </w:r>
          <w:r>
            <w:rPr>
              <w:rFonts w:hint="eastAsia"/>
              <w:sz w:val="24"/>
              <w:szCs w:val="32"/>
              <w:lang w:val="en-US" w:eastAsia="zh-CN"/>
            </w:rPr>
            <w:t>8</w:t>
          </w: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  <w:p w14:paraId="103F26D4">
          <w:pPr>
            <w:spacing w:line="360" w:lineRule="auto"/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</w:pPr>
          <w:r>
            <w:rPr>
              <w:rFonts w:hint="eastAsia" w:ascii="楷体_GB2312" w:hAnsi="Times New Roman" w:eastAsia="楷体_GB2312" w:cs="Times New Roman"/>
              <w:kern w:val="2"/>
              <w:sz w:val="24"/>
              <w:szCs w:val="36"/>
              <w:lang w:val="en-US" w:eastAsia="zh-CN" w:bidi="ar-SA"/>
            </w:rPr>
            <w:fldChar w:fldCharType="end"/>
          </w:r>
        </w:p>
      </w:sdtContent>
    </w:sdt>
    <w:p w14:paraId="606ECD78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7A7C8455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52068481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632AAEC2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569D49F1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52C81CE5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7346E15E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00821CF3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317FA168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2C64B960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005A171B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7FB01C7B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5B8A33B3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00759D3F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1D0AE300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34574303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525E5E27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14FEADB1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67D6B5B6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p w14:paraId="7639875F">
      <w:pPr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  <w:bookmarkStart w:id="10" w:name="_GoBack"/>
      <w:bookmarkEnd w:id="10"/>
    </w:p>
    <w:tbl>
      <w:tblPr>
        <w:tblStyle w:val="12"/>
        <w:tblW w:w="0" w:type="auto"/>
        <w:tblInd w:w="12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0"/>
      </w:tblGrid>
      <w:tr w14:paraId="5F0F3343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0" w:type="dxa"/>
            <w:noWrap w:val="0"/>
            <w:vAlign w:val="top"/>
          </w:tcPr>
          <w:p w14:paraId="56301DE7">
            <w:pPr>
              <w:jc w:val="center"/>
              <w:rPr>
                <w:rFonts w:hint="eastAsia"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b/>
                <w:sz w:val="28"/>
                <w:szCs w:val="28"/>
              </w:rPr>
              <w:t>需求分析报告</w:t>
            </w:r>
          </w:p>
          <w:p w14:paraId="2D92E8BF">
            <w:pPr>
              <w:pStyle w:val="2"/>
              <w:spacing w:before="174" w:line="360" w:lineRule="auto"/>
              <w:outlineLvl w:val="9"/>
              <w:rPr>
                <w:rFonts w:hint="eastAsia" w:ascii="楷体_GB2312" w:hAnsi="宋体" w:eastAsia="楷体_GB2312"/>
                <w:sz w:val="21"/>
                <w:szCs w:val="21"/>
              </w:rPr>
            </w:pPr>
            <w:bookmarkStart w:id="0" w:name="_Toc10472"/>
            <w:r>
              <w:rPr>
                <w:rFonts w:hint="eastAsia" w:ascii="楷体_GB2312" w:hAnsi="宋体" w:eastAsia="楷体_GB2312"/>
                <w:sz w:val="21"/>
                <w:szCs w:val="21"/>
              </w:rPr>
              <w:t>1.引言</w:t>
            </w:r>
            <w:bookmarkEnd w:id="0"/>
          </w:p>
          <w:p w14:paraId="3BB9DD36">
            <w:pPr>
              <w:ind w:firstLine="210" w:firstLineChars="100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参见2.3 可行性分析报告的引言。</w:t>
            </w:r>
          </w:p>
          <w:p w14:paraId="21382942">
            <w:pPr>
              <w:rPr>
                <w:rFonts w:hint="eastAsia" w:ascii="楷体_GB2312" w:eastAsia="楷体_GB2312"/>
                <w:b/>
                <w:szCs w:val="21"/>
              </w:rPr>
            </w:pPr>
            <w:r>
              <w:rPr>
                <w:rFonts w:hint="eastAsia" w:ascii="楷体_GB2312" w:eastAsia="楷体_GB2312"/>
                <w:b/>
                <w:szCs w:val="21"/>
              </w:rPr>
              <w:t>2. 需求概述</w:t>
            </w:r>
          </w:p>
          <w:p w14:paraId="7A816E75">
            <w:pPr>
              <w:pStyle w:val="16"/>
              <w:ind w:firstLine="416" w:firstLineChars="0"/>
              <w:outlineLvl w:val="9"/>
              <w:rPr>
                <w:rFonts w:hint="eastAsia" w:ascii="楷体_GB2312" w:eastAsia="楷体_GB2312"/>
                <w:sz w:val="21"/>
                <w:szCs w:val="21"/>
              </w:rPr>
            </w:pPr>
            <w:bookmarkStart w:id="1" w:name="_Toc1475"/>
            <w:bookmarkStart w:id="2" w:name="_Toc139822467"/>
            <w:bookmarkStart w:id="3" w:name="_Toc156559993"/>
            <w:r>
              <w:rPr>
                <w:rFonts w:hint="eastAsia" w:ascii="楷体_GB2312" w:eastAsia="楷体_GB2312"/>
                <w:sz w:val="21"/>
                <w:szCs w:val="21"/>
              </w:rPr>
              <w:t>2.1 目标</w:t>
            </w:r>
            <w:bookmarkEnd w:id="1"/>
            <w:bookmarkEnd w:id="2"/>
            <w:bookmarkEnd w:id="3"/>
          </w:p>
          <w:p w14:paraId="2FCFAE9E">
            <w:pPr>
              <w:tabs>
                <w:tab w:val="left" w:pos="900"/>
              </w:tabs>
              <w:ind w:firstLine="420" w:firstLineChars="200"/>
              <w:rPr>
                <w:rFonts w:hint="eastAsia" w:ascii="楷体_GB2312" w:hAnsi="宋体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“</w:t>
            </w:r>
            <w:r>
              <w:rPr>
                <w:rFonts w:hint="eastAsia" w:ascii="楷体_GB2312" w:eastAsia="楷体_GB2312"/>
                <w:szCs w:val="21"/>
                <w:lang w:val="en-US" w:eastAsia="zh-CN"/>
              </w:rPr>
              <w:t>交大实验室危险气体实时检测与预警系统</w:t>
            </w:r>
            <w:r>
              <w:rPr>
                <w:rFonts w:hint="eastAsia" w:ascii="楷体_GB2312" w:eastAsia="楷体_GB2312"/>
                <w:szCs w:val="21"/>
              </w:rPr>
              <w:t>”主要提供实时气体浓度监控、自动预警响应、应急流程标准化管理及安全数据分析等功能。该系统针对的用户是中小规模高校实验室（如北京交通大学部分院系实验室），其危险气体种类和监测点位有限，系统需具备操作便捷性高、响应速度快、维护成本低的特点，方便安全管理员实现高效风险管控，同时保障实验人员能够快速执行规范操作，从源头降低泄漏与爆炸事故风险。</w:t>
            </w:r>
          </w:p>
          <w:p w14:paraId="64AD53F1">
            <w:pPr>
              <w:rPr>
                <w:rFonts w:hint="eastAsia" w:ascii="楷体_GB2312" w:eastAsia="楷体_GB2312"/>
                <w:b/>
                <w:szCs w:val="21"/>
              </w:rPr>
            </w:pPr>
            <w:r>
              <w:rPr>
                <w:rFonts w:hint="eastAsia" w:ascii="楷体_GB2312" w:eastAsia="楷体_GB2312"/>
                <w:b/>
                <w:szCs w:val="21"/>
              </w:rPr>
              <w:t>2.2 用户类和特征</w:t>
            </w:r>
          </w:p>
          <w:p w14:paraId="4D03DBB2"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   本系统定义六类用户：气体传感器</w:t>
            </w:r>
            <w:r>
              <w:rPr>
                <w:rFonts w:hint="eastAsia" w:ascii="楷体_GB2312" w:eastAsia="楷体_GB2312"/>
                <w:szCs w:val="21"/>
                <w:lang w:eastAsia="zh-CN"/>
              </w:rPr>
              <w:t>：</w:t>
            </w:r>
            <w:r>
              <w:rPr>
                <w:rFonts w:hint="eastAsia" w:ascii="楷体_GB2312" w:eastAsia="楷体_GB2312"/>
                <w:szCs w:val="21"/>
              </w:rPr>
              <w:t>作为自动数据终端，实时上报浓度并触发设备联动；平台负责人（校级）拥有最高权限，负责全局账户管理、策略配置及日志审计，需精通网络安全；学院负责人（院级）管理本院物业及房间负责人账户，协调跨实验室风险；物业负责人</w:t>
            </w:r>
            <w:r>
              <w:rPr>
                <w:rFonts w:hint="eastAsia" w:ascii="楷体_GB2312" w:eastAsia="楷体_GB2312"/>
                <w:szCs w:val="21"/>
                <w:lang w:eastAsia="zh-CN"/>
              </w:rPr>
              <w:t>：</w:t>
            </w:r>
            <w:r>
              <w:rPr>
                <w:rFonts w:hint="eastAsia" w:ascii="楷体_GB2312" w:eastAsia="楷体_GB2312"/>
                <w:szCs w:val="21"/>
              </w:rPr>
              <w:t>掌控硬件设施权限，维护传感器与通风/电力设备；房间负责人</w:t>
            </w:r>
            <w:r>
              <w:rPr>
                <w:rFonts w:hint="eastAsia" w:ascii="楷体_GB2312" w:eastAsia="楷体_GB2312"/>
                <w:szCs w:val="21"/>
                <w:lang w:eastAsia="zh-CN"/>
              </w:rPr>
              <w:t>（</w:t>
            </w:r>
            <w:r>
              <w:rPr>
                <w:rFonts w:hint="eastAsia" w:ascii="楷体_GB2312" w:eastAsia="楷体_GB2312"/>
                <w:szCs w:val="21"/>
              </w:rPr>
              <w:t>实验室级）管理成员账户、处理本地警报及培训；房间成员（学生/研究人员）通过移动端接收报警并执行应急操作，仅需基础设备操作能力。</w:t>
            </w:r>
          </w:p>
          <w:p w14:paraId="164959E6">
            <w:pPr>
              <w:rPr>
                <w:rFonts w:hint="eastAsia" w:ascii="楷体_GB2312" w:eastAsia="楷体_GB2312"/>
                <w:b/>
                <w:szCs w:val="21"/>
              </w:rPr>
            </w:pPr>
            <w:r>
              <w:rPr>
                <w:rFonts w:hint="eastAsia" w:ascii="楷体_GB2312" w:eastAsia="楷体_GB2312"/>
                <w:b/>
                <w:szCs w:val="21"/>
              </w:rPr>
              <w:t>2.3 运行环境</w:t>
            </w:r>
          </w:p>
          <w:p w14:paraId="274FDFCD"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  参见2.3 可行性分析报告的运行环境。</w:t>
            </w:r>
          </w:p>
          <w:p w14:paraId="64553F0E">
            <w:pPr>
              <w:rPr>
                <w:rFonts w:hint="eastAsia" w:ascii="楷体_GB2312" w:eastAsia="楷体_GB2312"/>
                <w:b/>
                <w:szCs w:val="21"/>
              </w:rPr>
            </w:pPr>
            <w:r>
              <w:rPr>
                <w:rFonts w:hint="eastAsia" w:ascii="楷体_GB2312" w:eastAsia="楷体_GB2312"/>
                <w:b/>
                <w:szCs w:val="21"/>
              </w:rPr>
              <w:t>3. 功能需求</w:t>
            </w:r>
          </w:p>
          <w:p w14:paraId="52212500">
            <w:pPr>
              <w:ind w:firstLine="420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本系统相应的需求有：</w:t>
            </w:r>
          </w:p>
          <w:p w14:paraId="2CB4C8C5">
            <w:pPr>
              <w:ind w:firstLine="420" w:firstLineChars="200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（1）能够对实验室气体监控数据进行集中存储与动态管理，主要包括：</w:t>
            </w:r>
          </w:p>
          <w:p w14:paraId="5731ED51">
            <w:pPr>
              <w:numPr>
                <w:ilvl w:val="1"/>
                <w:numId w:val="1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终端状态数据：气体传感器设备状态（在线/故障/低电量）、实时浓度数值、校准记录。</w:t>
            </w:r>
          </w:p>
          <w:p w14:paraId="42E98ECA">
            <w:pPr>
              <w:numPr>
                <w:ilvl w:val="1"/>
                <w:numId w:val="1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警报记录：预警（低风险）、一级警报（中度风险）、二级警报（高风险）的触发时间、位置、处理状态及处置日志。</w:t>
            </w:r>
          </w:p>
          <w:p w14:paraId="430ED6DF">
            <w:pPr>
              <w:numPr>
                <w:ilvl w:val="1"/>
                <w:numId w:val="1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用户操作数据：各级负责人的配置变更、应急操作记录及权限分配历史。</w:t>
            </w:r>
          </w:p>
          <w:p w14:paraId="5B72FEA0">
            <w:pPr>
              <w:numPr>
                <w:ilvl w:val="0"/>
                <w:numId w:val="2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房间级操作（房间成员/负责人），这其中包括：</w:t>
            </w:r>
          </w:p>
          <w:p w14:paraId="1597CF54">
            <w:pPr>
              <w:numPr>
                <w:ilvl w:val="0"/>
                <w:numId w:val="3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终端状态查看：实时监测本房间气体浓度数值；查询本房间传感器设备状态及历史警报记录（24小时内）。</w:t>
            </w:r>
          </w:p>
          <w:p w14:paraId="732C7D03">
            <w:pPr>
              <w:numPr>
                <w:ilvl w:val="0"/>
                <w:numId w:val="3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预警警报处理：接收系统推送的本房间预警信息（如浓度接近阈值）；执行标准化应急操作（如"确认通风启动"或"上报异常"）。</w:t>
            </w:r>
          </w:p>
          <w:p w14:paraId="2AED3B81">
            <w:pPr>
              <w:numPr>
                <w:ilvl w:val="0"/>
                <w:numId w:val="3"/>
              </w:numPr>
              <w:rPr>
                <w:rFonts w:hint="eastAsia" w:ascii="楷体_GB2312" w:eastAsia="楷体_GB2312"/>
                <w:szCs w:val="21"/>
                <w:lang w:eastAsia="zh-CN"/>
              </w:rPr>
            </w:pPr>
            <w:r>
              <w:rPr>
                <w:rFonts w:hint="eastAsia" w:ascii="楷体_GB2312" w:eastAsia="楷体_GB2312"/>
                <w:szCs w:val="21"/>
              </w:rPr>
              <w:t>成员管理（仅房间负责人）：增删改本实验室成员账户，分配基础操作权限</w:t>
            </w:r>
          </w:p>
          <w:p w14:paraId="0E0FFE9F">
            <w:pPr>
              <w:numPr>
                <w:ilvl w:val="0"/>
                <w:numId w:val="2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楼栋级操作（物业负责人）</w:t>
            </w:r>
            <w:r>
              <w:rPr>
                <w:rFonts w:hint="eastAsia" w:ascii="楷体_GB2312" w:eastAsia="楷体_GB2312"/>
                <w:szCs w:val="21"/>
                <w:lang w:eastAsia="zh-CN"/>
              </w:rPr>
              <w:t>，</w:t>
            </w:r>
            <w:r>
              <w:rPr>
                <w:rFonts w:hint="eastAsia" w:ascii="楷体_GB2312" w:eastAsia="楷体_GB2312"/>
                <w:szCs w:val="21"/>
                <w:lang w:val="en-US" w:eastAsia="zh-CN"/>
              </w:rPr>
              <w:t>这其中包括：</w:t>
            </w:r>
          </w:p>
          <w:p w14:paraId="43E99093">
            <w:pPr>
              <w:numPr>
                <w:ilvl w:val="0"/>
                <w:numId w:val="3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全楼栋监控管理</w:t>
            </w:r>
            <w:r>
              <w:rPr>
                <w:rFonts w:hint="default" w:ascii="楷体_GB2312" w:eastAsia="楷体_GB2312"/>
                <w:szCs w:val="21"/>
              </w:rPr>
              <w:t>：查看本楼栋所有房间的实时数据、设备状态及警报记录；处理楼栋级预警（如多房间同时浓度异常）；设置物业附属负责人，共享设备维护权限。</w:t>
            </w:r>
          </w:p>
          <w:p w14:paraId="77A0C080">
            <w:pPr>
              <w:numPr>
                <w:ilvl w:val="0"/>
                <w:numId w:val="3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硬件联动控制：远程触发通风/电力设备（如整栋楼强制通风）。</w:t>
            </w:r>
          </w:p>
          <w:p w14:paraId="4129A344">
            <w:pPr>
              <w:numPr>
                <w:ilvl w:val="0"/>
                <w:numId w:val="2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学院级操作（学院负责人），这其中包括：</w:t>
            </w:r>
          </w:p>
          <w:p w14:paraId="5F8D573C">
            <w:pPr>
              <w:numPr>
                <w:ilvl w:val="0"/>
                <w:numId w:val="3"/>
              </w:num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全院风险管控：监控本院所有实验室实时数据及历史警报；处理房间负责人无法解决的一级警报（如持续泄漏未处置）；任命学院附属负责人，协同跨实验室应急响应。</w:t>
            </w:r>
          </w:p>
          <w:p w14:paraId="2FC6B93E">
            <w:pPr>
              <w:numPr>
                <w:ilvl w:val="0"/>
                <w:numId w:val="2"/>
              </w:numPr>
            </w:pPr>
            <w:r>
              <w:rPr>
                <w:rFonts w:hint="eastAsia" w:ascii="楷体_GB2312" w:eastAsia="楷体_GB2312"/>
                <w:szCs w:val="21"/>
              </w:rPr>
              <w:t>校级操作（平台负责人），这其中包括：</w:t>
            </w:r>
          </w:p>
          <w:p w14:paraId="6A3D3FD2">
            <w:pPr>
              <w:numPr>
                <w:ilvl w:val="0"/>
                <w:numId w:val="3"/>
              </w:numPr>
              <w:rPr>
                <w:rFonts w:hint="eastAsia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全局监管与审计</w:t>
            </w:r>
            <w:r>
              <w:rPr>
                <w:rFonts w:hint="default" w:ascii="楷体_GB2312" w:eastAsia="楷体_GB2312"/>
                <w:szCs w:val="21"/>
                <w:lang w:val="en-US" w:eastAsia="zh-CN"/>
              </w:rPr>
              <w:t>：查看全校传感器状态、实时数据及全量警报记录；介入处理二级警报（如爆炸风险）及学院未解决的重大事件配置</w:t>
            </w:r>
            <w:r>
              <w:rPr>
                <w:rFonts w:hint="eastAsia" w:ascii="楷体_GB2312" w:eastAsia="楷体_GB2312"/>
                <w:szCs w:val="21"/>
                <w:lang w:val="en-US" w:eastAsia="zh-CN"/>
              </w:rPr>
              <w:t>，</w:t>
            </w:r>
            <w:r>
              <w:rPr>
                <w:rFonts w:hint="default" w:ascii="楷体_GB2312" w:eastAsia="楷体_GB2312"/>
                <w:szCs w:val="21"/>
                <w:lang w:val="en-US" w:eastAsia="zh-CN"/>
              </w:rPr>
              <w:t>系统安全策略（备份规则、报警阈值层级）。</w:t>
            </w:r>
          </w:p>
          <w:p w14:paraId="3F3943C0">
            <w:pPr>
              <w:rPr>
                <w:rFonts w:hint="eastAsia" w:ascii="楷体_GB2312" w:eastAsia="楷体_GB2312"/>
                <w:b/>
                <w:szCs w:val="21"/>
              </w:rPr>
            </w:pPr>
            <w:bookmarkStart w:id="4" w:name="_Toc156559995"/>
            <w:bookmarkStart w:id="5" w:name="_Toc139822469"/>
            <w:r>
              <w:rPr>
                <w:rFonts w:hint="eastAsia" w:ascii="楷体_GB2312" w:eastAsia="楷体_GB2312"/>
                <w:b/>
                <w:szCs w:val="21"/>
              </w:rPr>
              <w:t>3.1 确定执行者</w:t>
            </w:r>
            <w:bookmarkEnd w:id="4"/>
            <w:bookmarkEnd w:id="5"/>
          </w:p>
          <w:p w14:paraId="6726311E"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b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 xml:space="preserve">  执行者是与系统交互的外部实体，它既可以是人员也可以是外部系统或硬件设备。</w:t>
            </w:r>
          </w:p>
          <w:p w14:paraId="3CDDE6FC">
            <w:pPr>
              <w:ind w:firstLine="420" w:firstLineChars="200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确定执行者可以通过提出以下问题得到：</w:t>
            </w:r>
          </w:p>
          <w:p w14:paraId="79B97B4B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谁使用系统的主要功能？</w:t>
            </w:r>
          </w:p>
          <w:p w14:paraId="6595760D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谁需要系统的支持以完成日常工作任务？</w:t>
            </w:r>
          </w:p>
          <w:p w14:paraId="144CA15C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谁从系统获取信息？</w:t>
            </w:r>
          </w:p>
          <w:p w14:paraId="7B347C89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谁负责维护和管理系统以保证其正常运行？</w:t>
            </w:r>
          </w:p>
          <w:p w14:paraId="2D9733EC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系统需要应付（处理）哪些外部硬件设备？</w:t>
            </w:r>
          </w:p>
          <w:p w14:paraId="70A32C87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系统需要和哪些外部系统交互？</w:t>
            </w:r>
          </w:p>
          <w:p w14:paraId="4A0E2CCF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人员执行者涵盖五类核心用户：平台负责人作为校级管理者，依赖系统完成全局策略配置与安全审计；学院负责人通过系统获取跨实验室风险数据，协调重大警报处置；物业负责人利用系统控制楼栋通风/电力设备，维护硬件设施；房间负责人操作本地成员管理及预警处理功能；房间成员则直接接收系统推送的警报指令并执行应急动作。所有人员均需系统支持日常工作，其中高层级用户（平台/学院负责人）侧重监管维护，基层用户（房间级）聚焦实时响应。</w:t>
            </w:r>
          </w:p>
          <w:p w14:paraId="5F9F9523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硬件设备执行者以气体传感器为核心，作为系统的"感知终端"，主动上报浓度数据并执行联动指令。系统需实时处理其传输的监测信息，并反向控制其应急动作，构成双向交互基础。</w:t>
            </w:r>
          </w:p>
          <w:p w14:paraId="74ADABD8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外部系统执行者主要包括消防报警系统和楼宇管理系统（BMS）。当系统判定二级高风险警报时，将自动触发消防系统启动疏散协议；同时通过与BMS的实时数据交换，同步通风/电力状态并发送强制调控指令（如全楼通风），实现跨系统协同应急。</w:t>
            </w:r>
          </w:p>
          <w:p w14:paraId="15326E93">
            <w:pPr>
              <w:rPr>
                <w:rFonts w:hint="eastAsia" w:ascii="楷体_GB2312" w:eastAsia="楷体_GB2312"/>
                <w:b/>
                <w:szCs w:val="21"/>
              </w:rPr>
            </w:pPr>
            <w:bookmarkStart w:id="6" w:name="_Toc156559996"/>
            <w:bookmarkStart w:id="7" w:name="_Toc139822470"/>
            <w:r>
              <w:rPr>
                <w:rFonts w:hint="eastAsia" w:ascii="楷体_GB2312" w:eastAsia="楷体_GB2312"/>
                <w:b/>
                <w:szCs w:val="21"/>
              </w:rPr>
              <w:t>3.2 确定用例</w:t>
            </w:r>
            <w:bookmarkEnd w:id="6"/>
            <w:bookmarkEnd w:id="7"/>
          </w:p>
          <w:p w14:paraId="3615ED12">
            <w:pPr>
              <w:ind w:firstLine="420" w:firstLineChars="200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用例描述了一个完整的系统事件流程，其重点在于执行者与系统之间的交互而不是内在的系统活动，并对执行者产生有价值的可观测结果。</w:t>
            </w:r>
          </w:p>
          <w:p w14:paraId="53C1DC2D">
            <w:pPr>
              <w:ind w:firstLine="420" w:firstLineChars="200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确定用例可以通过提出以下问题得到：</w:t>
            </w:r>
          </w:p>
          <w:p w14:paraId="0E71B2A5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参与者需要从系统中获得什么功能？参与者需要做什么？</w:t>
            </w:r>
          </w:p>
          <w:p w14:paraId="5F727AC7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参与者读取、产生、删除、修改或存储系统的某些信息吗？</w:t>
            </w:r>
          </w:p>
          <w:p w14:paraId="5129DF4C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系统中发生事件需要通知参与者吗？参与者需要通知系统某件事情吗？</w:t>
            </w:r>
          </w:p>
          <w:p w14:paraId="3D96BA47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系统的输入/输出信息是什么？这些信息从哪儿来到哪儿去？</w:t>
            </w:r>
          </w:p>
          <w:p w14:paraId="70E0B2C9">
            <w:pPr>
              <w:ind w:firstLine="359" w:firstLineChars="171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/>
                <w:szCs w:val="21"/>
              </w:rPr>
              <w:t>–</w:t>
            </w:r>
            <w:r>
              <w:rPr>
                <w:rFonts w:hint="eastAsia" w:ascii="楷体_GB2312" w:eastAsia="楷体_GB2312"/>
                <w:szCs w:val="21"/>
              </w:rPr>
              <w:t>采用什么实现方法满足某些特殊要求？</w:t>
            </w:r>
          </w:p>
          <w:p w14:paraId="5775D036"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ab/>
            </w:r>
            <w:r>
              <w:rPr>
                <w:rFonts w:hint="eastAsia" w:ascii="楷体_GB2312" w:eastAsia="楷体_GB2312"/>
                <w:szCs w:val="21"/>
              </w:rPr>
              <w:t>我们通过一定的调研和分析得到的“</w:t>
            </w:r>
            <w:r>
              <w:rPr>
                <w:rFonts w:hint="eastAsia" w:ascii="楷体_GB2312" w:eastAsia="楷体_GB2312"/>
                <w:szCs w:val="21"/>
                <w:lang w:val="en-US" w:eastAsia="zh-CN"/>
              </w:rPr>
              <w:t>交大实验室危险气体实时检测与预警</w:t>
            </w:r>
            <w:r>
              <w:rPr>
                <w:rFonts w:hint="eastAsia" w:ascii="楷体_GB2312" w:eastAsia="楷体_GB2312"/>
                <w:szCs w:val="21"/>
              </w:rPr>
              <w:t>系统”的用例图，如图3.1所示。</w:t>
            </w:r>
          </w:p>
          <w:p w14:paraId="18FEF658">
            <w:pPr>
              <w:ind w:left="416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object>
                <v:shape id="_x0000_i1026" o:spt="75" type="#_x0000_t75" style="height:281.25pt;width:378.1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6">
                  <o:LockedField>false</o:LockedField>
                </o:OLEObject>
              </w:object>
            </w:r>
          </w:p>
          <w:p w14:paraId="39B9D75D"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图3.1   用例图</w:t>
            </w:r>
            <w:bookmarkStart w:id="8" w:name="_Toc156559997"/>
            <w:bookmarkStart w:id="9" w:name="_Toc139822471"/>
          </w:p>
          <w:p w14:paraId="5E18373E">
            <w:pPr>
              <w:rPr>
                <w:rFonts w:hint="eastAsia" w:ascii="楷体_GB2312" w:eastAsia="楷体_GB2312"/>
                <w:b/>
                <w:szCs w:val="21"/>
              </w:rPr>
            </w:pPr>
            <w:r>
              <w:rPr>
                <w:rFonts w:hint="eastAsia" w:ascii="楷体_GB2312" w:eastAsia="楷体_GB2312"/>
                <w:b/>
                <w:szCs w:val="21"/>
              </w:rPr>
              <w:t>3.3 编写用例文档</w:t>
            </w:r>
          </w:p>
          <w:p w14:paraId="60016F5C">
            <w:pPr>
              <w:ind w:firstLine="420" w:firstLineChars="200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用例图不能提供用例所具有的全部信息，因此需要使用文字描述那些不能放映在图形上的信息。用例文档是关于执行者与系统如何交互的规格说明，要求清晰明确，没有二义性。在描述用例时，应该只注重外部能力，不涉及内部细节。下面给出本例中的用例文档。</w:t>
            </w:r>
          </w:p>
          <w:bookmarkEnd w:id="8"/>
          <w:bookmarkEnd w:id="9"/>
          <w:p w14:paraId="59F699C2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1. 用例：上报浓度数据</w:t>
            </w:r>
          </w:p>
          <w:p w14:paraId="6FC64D10">
            <w:pPr>
              <w:ind w:left="420" w:leftChars="200" w:firstLine="0" w:firstLineChars="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参与执行者：气体传感器（主动执行者）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入口条件：传感器通电联网，系统处于运行状态。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事件流：传感器实时采集气体浓度（如甲烷、氢气）；系统接收数据并校验格式有效性；</w:t>
            </w:r>
          </w:p>
          <w:p w14:paraId="5BFD7C3F">
            <w:pPr>
              <w:ind w:left="420" w:hanging="420" w:hanging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若数据异常（如数值溢出），丢弃该次上报；有效数据存储至数据库，并触发阈值分析。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出口条件：浓度数据成功存入数据库，供监测模块调用。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异常事件：网络中断：传感器缓存数据，恢复后重传；数据无效：系统记录“传感器X数据异常”日志。</w:t>
            </w:r>
          </w:p>
          <w:p w14:paraId="603DACE6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2. 用例：处理预警警报</w:t>
            </w:r>
          </w:p>
          <w:p w14:paraId="5DA22BA0">
            <w:pPr>
              <w:ind w:left="420" w:leftChars="200" w:firstLine="0" w:firstLineChars="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参与执行者：房间成员、房间负责人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入口条件：用户登录系统，收到预警推送（弹窗/短信）。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事件流：系统检测浓度超标→推送预警（含气体类型、浓度值、位置）；用户点击“处理”按钮→系统展示应急指令（如“立即通风”）；用户执行指令→系统反馈结果（如“通风已启动，浓度下降中”）；系统标记警报状态为“已处理”，记录操作者及时间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出口条件：警报状态更新，操作日志入库。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异常事件：用户未响应：15分钟后升级为一级警报，通知物业负责人；操作失败（如通风故障）：系统提示“设备异常，请联系物业”。</w:t>
            </w:r>
          </w:p>
          <w:p w14:paraId="06D72C5E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3. 用例：管理房间成员</w:t>
            </w:r>
          </w:p>
          <w:p w14:paraId="5ADC6089">
            <w:pPr>
              <w:ind w:left="420" w:leftChars="200" w:firstLine="0" w:firstLineChars="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参与执行者：房间负责人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入口条件：负责人登录系统，权限为“房间管理员”。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事件流：</w:t>
            </w:r>
          </w:p>
          <w:p w14:paraId="15FFA6CC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添加成员：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输入学号/姓名→系统验证学籍有效性→分配基础权限→通知新成员账户生效。</w:t>
            </w:r>
          </w:p>
          <w:p w14:paraId="2573DE2A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修改权限：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选择成员→调整权限等级（如“可操作通风”）→系统实时生效。</w:t>
            </w:r>
          </w:p>
          <w:p w14:paraId="0F1F772A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删除成员：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选择成员→点击删除→系统提示“确认移除？”→确认后冻结账户并同步门禁系统。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出口条件：成员账户状态变更生效，权限同步至关联系统。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异常事件：</w:t>
            </w:r>
          </w:p>
          <w:p w14:paraId="515F4DD0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学籍无效：提示“学号不存在，请重新输入”；</w:t>
            </w:r>
          </w:p>
          <w:p w14:paraId="79654DF7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权限冲突：禁止赋予超出房间负责人的权限等级。</w:t>
            </w:r>
          </w:p>
          <w:p w14:paraId="27AEB9D7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4. 用例：楼栋级设备联动</w:t>
            </w:r>
          </w:p>
          <w:p w14:paraId="66ED25CD">
            <w:pPr>
              <w:ind w:left="420" w:leftChars="200" w:firstLine="0" w:firstLineChars="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参与执行者：物业负责人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入口条件：物业负责人登录系统，触发“设备控制”权限。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事件流：</w:t>
            </w:r>
          </w:p>
          <w:p w14:paraId="6B816E50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选择楼栋→点击“强制通风”→系统向BMS发送加密指令；</w:t>
            </w:r>
          </w:p>
          <w:p w14:paraId="258040BD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BMS启动通风设备→回传状态（如“风机功率80%”）；</w:t>
            </w:r>
          </w:p>
          <w:p w14:paraId="7121ACE4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系统显示“通风中”，并广播通知关联房间（如“A栋通风已启动”）；</w:t>
            </w:r>
          </w:p>
          <w:p w14:paraId="7CF36B1F">
            <w:pPr>
              <w:ind w:left="420" w:leftChars="200" w:firstLine="0" w:firstLineChars="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操作日志记录指令内容、执行状态、时间戳。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出口条件：设备状态更新，楼栋级操作日志入库。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异常事件：</w:t>
            </w:r>
          </w:p>
          <w:p w14:paraId="7BC8EB71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BMS无响应：系统提示“设备通信失败，请手动检查”；</w:t>
            </w:r>
          </w:p>
          <w:p w14:paraId="226C928B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权限不足：禁止跨楼栋操作（如B栋负责人操作A栋设备）。</w:t>
            </w:r>
          </w:p>
          <w:p w14:paraId="5AEFD1ED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5. 用例：介入二级警报</w:t>
            </w:r>
          </w:p>
          <w:p w14:paraId="148FFCDC">
            <w:pPr>
              <w:ind w:left="420" w:leftChars="200" w:firstLine="0" w:firstLineChars="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参与执行者：学院负责人、平台负责人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入口条件：系统推送二级警报（浓度极高/爆炸风险），负责人登录系统。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事件流：</w:t>
            </w:r>
          </w:p>
          <w:p w14:paraId="1F33F5CB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负责人确认警报详情（位置、浓度趋势）→点击“启动消防联动”；</w:t>
            </w:r>
          </w:p>
          <w:p w14:paraId="1159209C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系统向消防系统发送位置数据及浓度值；</w:t>
            </w:r>
          </w:p>
          <w:p w14:paraId="6081E79B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消防系统激活喷淋/广播→回传处置码（如“喷淋已开启”）；</w:t>
            </w:r>
          </w:p>
          <w:p w14:paraId="2B8619BA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系统标记警报为“已处置”，生成事故报告（含处置时间、响应方）。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出口条件：消防系统已触发，事故报告入库。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楷体_GB2312" w:hAnsi="宋体" w:eastAsia="楷体_GB2312"/>
                <w:color w:val="000000"/>
                <w:szCs w:val="21"/>
              </w:rPr>
              <w:t>异常事件：</w:t>
            </w:r>
          </w:p>
          <w:p w14:paraId="1B3DE95B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消防系统故障：系统自动通知备用联系人（如保安室）；</w:t>
            </w:r>
          </w:p>
          <w:p w14:paraId="6DBAC117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误报确认：负责人点击“误报”→需填写原因→降级为预警。</w:t>
            </w:r>
          </w:p>
          <w:p w14:paraId="02CE1D83">
            <w:pPr>
              <w:ind w:firstLine="420" w:firstLineChars="200"/>
              <w:rPr>
                <w:rFonts w:hint="eastAsia" w:ascii="楷体_GB2312" w:hAnsi="宋体" w:eastAsia="楷体_GB2312"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color w:val="000000"/>
                <w:szCs w:val="21"/>
              </w:rPr>
              <w:t>6. 用例：生成系统状态报告</w:t>
            </w:r>
          </w:p>
          <w:p w14:paraId="7E4B0402">
            <w:pPr>
              <w:ind w:left="420" w:leftChars="200" w:firstLine="0" w:firstLineChars="0"/>
              <w:rPr>
                <w:rFonts w:hint="eastAsia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t>参与执行者：平台负责人、物业负责人</w:t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t>入口条件：用户登录系统，拥有“报告生成”权限。</w:t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t>事件流：</w:t>
            </w:r>
          </w:p>
          <w:p w14:paraId="38CB865C">
            <w:pPr>
              <w:ind w:firstLine="420" w:firstLineChars="200"/>
              <w:rPr>
                <w:rFonts w:hint="eastAsia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t>手动生成：设置时间/楼栋→点击“生成报告”→系统聚合数据（设备在线率、警报统计）→输出PDF/Excel文件→推送至邮箱。</w:t>
            </w:r>
          </w:p>
          <w:p w14:paraId="4A20F939">
            <w:pPr>
              <w:ind w:left="420" w:leftChars="200" w:firstLine="0" w:firstLineChars="0"/>
              <w:rPr>
                <w:rFonts w:hint="eastAsia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t>自动生成：每周一8:00自动生成全校报告→邮件发送至平台负责人。</w:t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t>出口条件：报告文件成功生成并送达指定邮箱。</w:t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br w:type="textWrapping"/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</w:rPr>
              <w:t>异常事件：数据缺失：跳过异常时段，报告标注“部分数据丢失”；邮件发送失败：系统界面保留30天临时下载链接。</w:t>
            </w:r>
          </w:p>
          <w:p w14:paraId="0F9933DA">
            <w:pPr>
              <w:ind w:left="420" w:leftChars="200" w:firstLine="0" w:firstLineChars="0"/>
              <w:rPr>
                <w:rFonts w:hint="eastAsia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bCs/>
                <w:color w:val="000000"/>
                <w:szCs w:val="21"/>
                <w:lang w:val="en-US" w:eastAsia="zh-CN"/>
              </w:rPr>
              <w:t>7</w:t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. 用例：查看气体监控终端状态</w:t>
            </w:r>
          </w:p>
          <w:p w14:paraId="745EADDC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参与执行者：房间成员、房间负责人、物业负责人、学院负责人、平台负责人</w:t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br w:type="textWrapping"/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入口条件：用户登录系统，拥有对应层级的数据查看权限。</w:t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br w:type="textWrapping"/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事件流：用户选择目标范围：房间成员/负责人：自动锁定本房间</w:t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  <w:lang w:eastAsia="zh-CN"/>
              </w:rPr>
              <w:t>；</w:t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物业负责人：选择楼栋（如“实验楼A栋”）</w:t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  <w:lang w:eastAsia="zh-CN"/>
              </w:rPr>
              <w:t>；</w:t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学院/平台负责人：选择学院或全校</w:t>
            </w:r>
          </w:p>
          <w:p w14:paraId="3F4B658E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系统实时调取数据：终端状态（在线/故障/低电量）当前气体浓度值（如“氢气：1.2%”）24小时内历史警报记录（类型/时间/处置状态）</w:t>
            </w:r>
          </w:p>
          <w:p w14:paraId="05428EC9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可视化展示：数值仪表盘（实时浓度）设备状态指示灯（绿/黄/红）历史记录表格（支持按时间排序）</w:t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br w:type="textWrapping"/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出口条件：界面展示用户权限范围内的监控状态数据。</w:t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br w:type="textWrapping"/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异常事件：无数据：若设备离线＞5分钟，显示“设备失联，请检查供电”若从未上报数据，显示“暂无监测记录”越权访问：房间成员尝试查看他室数据 → 系统拦截并提示“权限不足”</w:t>
            </w:r>
          </w:p>
          <w:p w14:paraId="322A070A">
            <w:pPr>
              <w:rPr>
                <w:rFonts w:hint="eastAsia" w:ascii="楷体_GB2312" w:hAnsi="宋体" w:eastAsia="楷体_GB2312"/>
                <w:b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b/>
                <w:color w:val="000000"/>
                <w:szCs w:val="21"/>
              </w:rPr>
              <w:t>4.非功能需求</w:t>
            </w:r>
          </w:p>
          <w:p w14:paraId="1269C365">
            <w:pPr>
              <w:rPr>
                <w:rFonts w:hint="eastAsia" w:ascii="楷体_GB2312" w:hAnsi="宋体" w:eastAsia="楷体_GB2312"/>
                <w:b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b/>
                <w:color w:val="000000"/>
                <w:szCs w:val="21"/>
              </w:rPr>
              <w:t>4.1 性能需求</w:t>
            </w:r>
          </w:p>
          <w:p w14:paraId="7D6F3333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实时响应能力：</w:t>
            </w:r>
          </w:p>
          <w:p w14:paraId="5C78DDB2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传感器数据上报延迟 ≤ 100ms（从采集到入库）</w:t>
            </w:r>
          </w:p>
          <w:p w14:paraId="06D10A2A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预警警报推送延迟 ≤ 2s（从阈值触发到用户终端）</w:t>
            </w:r>
          </w:p>
          <w:p w14:paraId="416D6287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设备控制指令执行延迟 ≤ 3s（如通风系统启动）</w:t>
            </w:r>
          </w:p>
          <w:p w14:paraId="0269B27B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并发处理能力：</w:t>
            </w:r>
          </w:p>
          <w:p w14:paraId="619568EA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支持 500+ 房间终端同时在线监测</w:t>
            </w:r>
          </w:p>
          <w:p w14:paraId="7282D814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允许 200+ 用户并发操作（如处理警报、查看状态）</w:t>
            </w:r>
          </w:p>
          <w:p w14:paraId="6A1567B8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数据吞吐量：</w:t>
            </w:r>
          </w:p>
          <w:p w14:paraId="32F51207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峰值处理 ≥ 1000 条/秒传感器数据</w:t>
            </w:r>
          </w:p>
          <w:p w14:paraId="471B0395">
            <w:pPr>
              <w:ind w:left="420" w:leftChars="200" w:firstLine="0" w:firstLineChars="0"/>
              <w:rPr>
                <w:rFonts w:hint="default" w:ascii="楷体_GB2312" w:hAnsi="宋体" w:eastAsia="楷体_GB2312"/>
                <w:bCs/>
                <w:color w:val="000000"/>
                <w:szCs w:val="21"/>
              </w:rPr>
            </w:pP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 xml:space="preserve">报告生成耗时 ≤ </w:t>
            </w:r>
            <w:r>
              <w:rPr>
                <w:rFonts w:hint="eastAsia" w:ascii="楷体_GB2312" w:hAnsi="宋体" w:eastAsia="楷体_GB2312"/>
                <w:bCs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default" w:ascii="楷体_GB2312" w:hAnsi="宋体" w:eastAsia="楷体_GB2312"/>
                <w:bCs/>
                <w:color w:val="000000"/>
                <w:szCs w:val="21"/>
              </w:rPr>
              <w:t>0s（全校级数据聚合）</w:t>
            </w:r>
          </w:p>
          <w:p w14:paraId="7D166960">
            <w:pPr>
              <w:rPr>
                <w:rFonts w:hint="eastAsia" w:ascii="楷体_GB2312" w:hAnsi="宋体" w:eastAsia="楷体_GB2312"/>
                <w:b/>
                <w:color w:val="000000"/>
                <w:szCs w:val="21"/>
              </w:rPr>
            </w:pPr>
            <w:r>
              <w:rPr>
                <w:rFonts w:hint="eastAsia" w:ascii="楷体_GB2312" w:hAnsi="宋体" w:eastAsia="楷体_GB2312"/>
                <w:b/>
                <w:color w:val="000000"/>
                <w:szCs w:val="21"/>
              </w:rPr>
              <w:t>4.2 安全性需求</w:t>
            </w:r>
          </w:p>
          <w:p w14:paraId="1852EA17">
            <w:pPr>
              <w:pStyle w:val="6"/>
              <w:ind w:firstLine="416"/>
              <w:rPr>
                <w:rFonts w:hint="eastAsia" w:ascii="楷体_GB2312" w:eastAsia="楷体_GB2312"/>
              </w:rPr>
            </w:pPr>
            <w:r>
              <w:rPr>
                <w:rFonts w:hint="eastAsia" w:ascii="楷体_GB2312" w:eastAsia="楷体_GB2312"/>
              </w:rPr>
              <w:t>通过五级角色权限隔离（平台→学院→物业→房间负责人→成员）实现最小权限原则，关键操作（如设备联动或成员删除）需双因子认证（密码+动态码）。数据传输采用TLS 1.3加密，数据库敏感字段使用AES-256加密存储。部署WAF防御网络攻击，操作日志通过区块链存证确保不可篡改。强制实施12位复杂密码策略（90天强制更新）及登录失败5次锁定机制，从访问控制到数据存证构建零信任安全模型。</w:t>
            </w:r>
          </w:p>
          <w:p w14:paraId="2986875B">
            <w:pPr>
              <w:pStyle w:val="6"/>
              <w:ind w:firstLine="0" w:firstLineChars="0"/>
              <w:rPr>
                <w:rFonts w:hint="eastAsia" w:ascii="楷体_GB2312" w:eastAsia="楷体_GB2312"/>
                <w:b/>
              </w:rPr>
            </w:pPr>
            <w:r>
              <w:rPr>
                <w:rFonts w:hint="eastAsia" w:ascii="楷体_GB2312" w:eastAsia="楷体_GB2312"/>
                <w:b/>
              </w:rPr>
              <w:t>5.故障处理</w:t>
            </w:r>
          </w:p>
          <w:p w14:paraId="46D4E077">
            <w:pPr>
              <w:pStyle w:val="6"/>
              <w:ind w:firstLine="411" w:firstLineChars="196"/>
              <w:rPr>
                <w:rFonts w:hint="eastAsia" w:ascii="楷体_GB2312" w:hAnsi="宋体" w:eastAsia="楷体_GB2312"/>
              </w:rPr>
            </w:pPr>
            <w:r>
              <w:rPr>
                <w:rFonts w:hint="eastAsia" w:ascii="楷体_GB2312" w:hAnsi="宋体" w:eastAsia="楷体_GB2312"/>
              </w:rPr>
              <w:t>采用双写机制（本地缓存+云端存储）保障数据持久化，传感器断网时可本地缓存数据72小时以上。每日全量备份与5分钟增量备份支持15秒内数据回滚，主备服务器故障10秒内自动切换。设计分级降级策略：传感器故障时自动切换相邻节点数据推算，系统过载时暂停非核心功能（如报告生成）。关键故障（如数据库崩溃）触发三级告警（系统弹窗→短信→电话呼叫），确保故障可快速响应且核心监测功能不中断。</w:t>
            </w:r>
          </w:p>
          <w:p w14:paraId="7BBC1CC0">
            <w:pPr>
              <w:rPr>
                <w:rFonts w:hint="eastAsia" w:ascii="楷体_GB2312" w:eastAsia="楷体_GB2312"/>
                <w:b/>
                <w:szCs w:val="21"/>
              </w:rPr>
            </w:pPr>
            <w:r>
              <w:rPr>
                <w:rFonts w:hint="eastAsia" w:ascii="楷体_GB2312" w:eastAsia="楷体_GB2312"/>
                <w:b/>
                <w:szCs w:val="21"/>
              </w:rPr>
              <w:t>6.外部接口需求</w:t>
            </w:r>
          </w:p>
          <w:p w14:paraId="6D9D2E28">
            <w:pPr>
              <w:ind w:left="416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系统需通过标准化协议对接四类外部实体：</w:t>
            </w:r>
          </w:p>
          <w:p w14:paraId="118D2C5B">
            <w:pPr>
              <w:ind w:left="416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气体传感器采用MQTT over TLS协议，接收JSON格式浓度数据（如{sensor_id: "A1", gas: "H2", value: 1.8}）；</w:t>
            </w:r>
          </w:p>
          <w:p w14:paraId="42510DBA">
            <w:pPr>
              <w:ind w:left="416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楼宇管理系统（BMS） 通过BACnet/IP协议发送设备控制指令（如{command: "vent_on", building: "B2"}）；</w:t>
            </w:r>
          </w:p>
          <w:p w14:paraId="2CB05A1E">
            <w:pPr>
              <w:ind w:left="416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消防系统 基于抗干扰的Modbus TCP协议触发应急联动（含位置坐标与浓度等级）；</w:t>
            </w:r>
          </w:p>
          <w:p w14:paraId="61D2CF95">
            <w:pPr>
              <w:ind w:left="416"/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校园认证系统 通过OAuth 2.0 + SCIM同步用户账户，自动冻结离职人员权限。所有接口需支持心跳检测，断开10秒内告警，确保工业级协同可靠性。</w:t>
            </w:r>
          </w:p>
        </w:tc>
      </w:tr>
    </w:tbl>
    <w:p w14:paraId="55689684">
      <w:pPr>
        <w:jc w:val="both"/>
        <w:rPr>
          <w:rFonts w:hint="eastAsia" w:ascii="楷体_GB2312" w:hAnsi="Times New Roman" w:eastAsia="楷体_GB2312" w:cs="Times New Roman"/>
          <w:kern w:val="2"/>
          <w:sz w:val="21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51A4209"/>
    <w:multiLevelType w:val="multilevel"/>
    <w:tmpl w:val="151A4209"/>
    <w:lvl w:ilvl="0" w:tentative="0">
      <w:start w:val="1"/>
      <w:numFmt w:val="bullet"/>
      <w:lvlText w:val="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PicBulletId w:val="0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hint="default" w:ascii="Wingdings" w:hAnsi="Wingdings"/>
      </w:rPr>
    </w:lvl>
  </w:abstractNum>
  <w:abstractNum w:abstractNumId="1">
    <w:nsid w:val="213117E9"/>
    <w:multiLevelType w:val="multilevel"/>
    <w:tmpl w:val="213117E9"/>
    <w:lvl w:ilvl="0" w:tentative="0">
      <w:start w:val="1"/>
      <w:numFmt w:val="bullet"/>
      <w:lvlText w:val=""/>
      <w:lvlJc w:val="left"/>
      <w:pPr>
        <w:tabs>
          <w:tab w:val="left" w:pos="850"/>
        </w:tabs>
        <w:ind w:left="8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270"/>
        </w:tabs>
        <w:ind w:left="12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90"/>
        </w:tabs>
        <w:ind w:left="16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10"/>
        </w:tabs>
        <w:ind w:left="21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30"/>
        </w:tabs>
        <w:ind w:left="25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50"/>
        </w:tabs>
        <w:ind w:left="29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70"/>
        </w:tabs>
        <w:ind w:left="33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90"/>
        </w:tabs>
        <w:ind w:left="37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10"/>
        </w:tabs>
        <w:ind w:left="4210" w:hanging="420"/>
      </w:pPr>
      <w:rPr>
        <w:rFonts w:hint="default" w:ascii="Wingdings" w:hAnsi="Wingdings"/>
      </w:rPr>
    </w:lvl>
  </w:abstractNum>
  <w:abstractNum w:abstractNumId="2">
    <w:nsid w:val="745771F9"/>
    <w:multiLevelType w:val="multilevel"/>
    <w:tmpl w:val="745771F9"/>
    <w:lvl w:ilvl="0" w:tentative="0">
      <w:start w:val="2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97055"/>
    <w:rsid w:val="004D4AEB"/>
    <w:rsid w:val="025B1C52"/>
    <w:rsid w:val="067D77AC"/>
    <w:rsid w:val="09046E58"/>
    <w:rsid w:val="14685F8D"/>
    <w:rsid w:val="174D4F79"/>
    <w:rsid w:val="1D9D21A3"/>
    <w:rsid w:val="21E872ED"/>
    <w:rsid w:val="23597055"/>
    <w:rsid w:val="269A17E1"/>
    <w:rsid w:val="326276D3"/>
    <w:rsid w:val="3CB60D47"/>
    <w:rsid w:val="3EF773F5"/>
    <w:rsid w:val="43542429"/>
    <w:rsid w:val="4B1E3247"/>
    <w:rsid w:val="52BC50DA"/>
    <w:rsid w:val="56002BDB"/>
    <w:rsid w:val="5AB87F28"/>
    <w:rsid w:val="5FA10F8B"/>
    <w:rsid w:val="6C3D203B"/>
    <w:rsid w:val="7608190C"/>
    <w:rsid w:val="791B3704"/>
    <w:rsid w:val="7B963516"/>
    <w:rsid w:val="7CC8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qFormat/>
    <w:uiPriority w:val="0"/>
    <w:pPr>
      <w:tabs>
        <w:tab w:val="left" w:pos="900"/>
      </w:tabs>
      <w:ind w:firstLine="420" w:firstLineChars="2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uiPriority w:val="0"/>
    <w:rPr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paragraph" w:customStyle="1" w:styleId="16">
    <w:name w:val="title4"/>
    <w:basedOn w:val="1"/>
    <w:uiPriority w:val="0"/>
    <w:pPr>
      <w:ind w:firstLine="420"/>
      <w:outlineLvl w:val="0"/>
    </w:pPr>
    <w:rPr>
      <w:rFonts w:ascii="宋体" w:hAnsi="宋体"/>
      <w:b/>
      <w:sz w:val="24"/>
    </w:rPr>
  </w:style>
  <w:style w:type="paragraph" w:customStyle="1" w:styleId="17">
    <w:name w:val="正文居中"/>
    <w:basedOn w:val="1"/>
    <w:qFormat/>
    <w:uiPriority w:val="0"/>
    <w:pPr>
      <w:adjustRightInd w:val="0"/>
      <w:snapToGrid w:val="0"/>
      <w:jc w:val="center"/>
    </w:pPr>
    <w:rPr>
      <w:rFonts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4603</Words>
  <Characters>4822</Characters>
  <Lines>0</Lines>
  <Paragraphs>0</Paragraphs>
  <TotalTime>0</TotalTime>
  <ScaleCrop>false</ScaleCrop>
  <LinksUpToDate>false</LinksUpToDate>
  <CharactersWithSpaces>4949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2025-06-15T02:14:00Z</dcterms:created>
  <dc:creator>WPS_1671554755</dc:creator>
  <cp:lastModifiedBy>WPS_1671554755</cp:lastModifiedBy>
  <dcterms:modified xsi:type="dcterms:W3CDTF">2025-06-15T08:41:28Z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B150292495C2454AA9314829647828F3_11</vt:lpwstr>
  </property>
  <property fmtid="{D5CDD505-2E9C-101B-9397-08002B2CF9AE}" pid="4" name="KSOTemplateDocerSaveRecord">
    <vt:lpwstr>eyJoZGlkIjoiZGVhOWM2YmZmNzM0ZWU1MGE2OGMwYWJhYmE0NGZiYjYiLCJ1c2VySWQiOiIxNDYxNjIwMTE1In0=</vt:lpwstr>
  </property>
</Properties>
</file>