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BB4E" w14:textId="1593295D" w:rsidR="00BA2D4E" w:rsidRDefault="00C4297F" w:rsidP="00C4297F">
      <w:pPr>
        <w:jc w:val="center"/>
      </w:pPr>
      <w:r>
        <w:rPr>
          <w:rFonts w:hint="eastAsia"/>
        </w:rPr>
        <w:t>消融方案</w:t>
      </w:r>
    </w:p>
    <w:tbl>
      <w:tblPr>
        <w:tblW w:w="10460" w:type="dxa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1565"/>
        <w:gridCol w:w="1629"/>
        <w:gridCol w:w="1651"/>
        <w:gridCol w:w="1797"/>
        <w:gridCol w:w="1665"/>
        <w:gridCol w:w="1917"/>
        <w:gridCol w:w="236"/>
      </w:tblGrid>
      <w:tr w:rsidR="00C4297F" w:rsidRPr="008444A1" w14:paraId="716300B8" w14:textId="77777777" w:rsidTr="0068500A">
        <w:trPr>
          <w:gridAfter w:val="1"/>
          <w:wAfter w:w="236" w:type="dxa"/>
          <w:trHeight w:val="723"/>
          <w:jc w:val="center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01A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Exp ID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270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图像增强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(Strong Aug.)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1CB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损失函数范围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(Dual Loss Scope)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DBAE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一致性正则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(Consistency)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C22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Gamma 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策略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(Scheduler)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F24C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实验目的与说明</w:t>
            </w:r>
          </w:p>
        </w:tc>
      </w:tr>
      <w:tr w:rsidR="00C4297F" w:rsidRPr="008444A1" w14:paraId="7641C8DE" w14:textId="77777777" w:rsidTr="0068500A">
        <w:trPr>
          <w:gridAfter w:val="1"/>
          <w:wAfter w:w="236" w:type="dxa"/>
          <w:trHeight w:val="361"/>
          <w:jc w:val="center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7A8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D1AD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✘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(Weak Only)</w:t>
            </w:r>
          </w:p>
        </w:tc>
        <w:tc>
          <w:tcPr>
            <w:tcW w:w="1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C473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single loss</w:t>
            </w:r>
            <w:r w:rsidRPr="008444A1">
              <w:rPr>
                <w:rFonts w:ascii="宋体" w:eastAsia="宋体" w:hAnsi="宋体" w:cs="Arial" w:hint="eastAsia"/>
                <w:color w:val="1F1F1F"/>
                <w:kern w:val="0"/>
                <w:szCs w:val="22"/>
                <w14:ligatures w14:val="none"/>
              </w:rPr>
              <w:t>（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S1</w:t>
            </w:r>
            <w:r w:rsidRPr="008444A1">
              <w:rPr>
                <w:rFonts w:ascii="宋体" w:eastAsia="宋体" w:hAnsi="宋体" w:cs="Arial" w:hint="eastAsia"/>
                <w:color w:val="1F1F1F"/>
                <w:kern w:val="0"/>
                <w:szCs w:val="22"/>
                <w14:ligatures w14:val="none"/>
              </w:rPr>
              <w:t>阶段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loss_m2</w:t>
            </w:r>
            <w:r w:rsidRPr="008444A1">
              <w:rPr>
                <w:rFonts w:ascii="宋体" w:eastAsia="宋体" w:hAnsi="宋体" w:cs="Arial" w:hint="eastAsia"/>
                <w:color w:val="1F1F1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9B9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✘</w:t>
            </w:r>
          </w:p>
        </w:tc>
        <w:tc>
          <w:tcPr>
            <w:tcW w:w="16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BEF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N/A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4FB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Baseline (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基准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)</w:t>
            </w:r>
          </w:p>
        </w:tc>
      </w:tr>
      <w:tr w:rsidR="00C4297F" w:rsidRPr="008444A1" w14:paraId="09B10E6E" w14:textId="77777777" w:rsidTr="0068500A">
        <w:trPr>
          <w:gridAfter w:val="1"/>
          <w:wAfter w:w="236" w:type="dxa"/>
          <w:trHeight w:val="666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EA3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D9D6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BFBD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34E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B09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E0C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仅使用基础几何增强，仅优化本地个性化损失，无全局约束。</w:t>
            </w:r>
          </w:p>
        </w:tc>
      </w:tr>
      <w:tr w:rsidR="00C4297F" w:rsidRPr="008444A1" w14:paraId="5A5BA65C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3BE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9BC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39B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4D0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374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4C9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47C9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C4297F" w:rsidRPr="008444A1" w14:paraId="474EFB8B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EF8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4BF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EDF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9153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0E1E8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813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3C44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38DE8326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4CC1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6DBA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B08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AFA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91D0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E92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BE21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170D54DC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122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7821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917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AE43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E53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B458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A586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61325A7C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4AA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7EA6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A25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A22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191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380D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3500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613AA9F4" w14:textId="77777777" w:rsidTr="0068500A">
        <w:trPr>
          <w:trHeight w:val="361"/>
          <w:jc w:val="center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327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F7B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✘</w:t>
            </w:r>
          </w:p>
        </w:tc>
        <w:tc>
          <w:tcPr>
            <w:tcW w:w="1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2A6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dual loss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（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S1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和偶数</w:t>
            </w:r>
            <w:proofErr w:type="gramStart"/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轮都是</w:t>
            </w:r>
            <w:proofErr w:type="gramEnd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loss_m2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与</w:t>
            </w:r>
            <w:proofErr w:type="spellStart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loss_sm</w:t>
            </w:r>
            <w:proofErr w:type="spellEnd"/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3D7A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✘</w:t>
            </w:r>
          </w:p>
        </w:tc>
        <w:tc>
          <w:tcPr>
            <w:tcW w:w="16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630B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Static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862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验证全局对齐的有效性</w:t>
            </w:r>
          </w:p>
        </w:tc>
        <w:tc>
          <w:tcPr>
            <w:tcW w:w="236" w:type="dxa"/>
            <w:vAlign w:val="center"/>
            <w:hideMark/>
          </w:tcPr>
          <w:p w14:paraId="5AE012B6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54835F81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6EDA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8DF3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F56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AA2B8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38D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B12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引入全局损失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$L_{</w:t>
            </w:r>
            <w:proofErr w:type="spellStart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sm</w:t>
            </w:r>
            <w:proofErr w:type="spellEnd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}$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，但使用固定权重（静态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Gamma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）。</w:t>
            </w:r>
          </w:p>
        </w:tc>
        <w:tc>
          <w:tcPr>
            <w:tcW w:w="236" w:type="dxa"/>
            <w:vAlign w:val="center"/>
            <w:hideMark/>
          </w:tcPr>
          <w:p w14:paraId="25B2B98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120E13F4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3C94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E8F5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D42C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03F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CFE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FC2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E137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C4297F" w:rsidRPr="008444A1" w14:paraId="7E67B24C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28F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935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38E9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6D4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2E9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F335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2439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0602C14D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00D0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1F79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4B23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286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95E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091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4FA4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547F44B0" w14:textId="77777777" w:rsidTr="0068500A">
        <w:trPr>
          <w:trHeight w:val="361"/>
          <w:jc w:val="center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E6756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293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b/>
                <w:bCs/>
                <w:color w:val="1F1F1F"/>
                <w:kern w:val="0"/>
                <w:szCs w:val="22"/>
                <w14:ligatures w14:val="none"/>
              </w:rPr>
              <w:t>✔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(Mix/Cut)</w:t>
            </w:r>
          </w:p>
        </w:tc>
        <w:tc>
          <w:tcPr>
            <w:tcW w:w="1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9D5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dual loss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（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S1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和偶数</w:t>
            </w:r>
            <w:proofErr w:type="gramStart"/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轮都是</w:t>
            </w:r>
            <w:proofErr w:type="gramEnd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loss_m2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与</w:t>
            </w:r>
            <w:proofErr w:type="spellStart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loss_sm</w:t>
            </w:r>
            <w:proofErr w:type="spellEnd"/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BAB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✘</w:t>
            </w:r>
          </w:p>
        </w:tc>
        <w:tc>
          <w:tcPr>
            <w:tcW w:w="16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1F0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Static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196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验证</w:t>
            </w:r>
            <w:proofErr w:type="gramStart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强增强</w:t>
            </w:r>
            <w:proofErr w:type="gramEnd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的有效性</w:t>
            </w:r>
          </w:p>
        </w:tc>
        <w:tc>
          <w:tcPr>
            <w:tcW w:w="236" w:type="dxa"/>
            <w:vAlign w:val="center"/>
            <w:hideMark/>
          </w:tcPr>
          <w:p w14:paraId="1D97680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5ADBCEA6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AF3D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9927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5AA4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B8E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A40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65A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在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B 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的基础上，启用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CutMix</w:t>
            </w:r>
            <w:proofErr w:type="spellEnd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/</w:t>
            </w:r>
            <w:proofErr w:type="spellStart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Mixup</w:t>
            </w:r>
            <w:proofErr w:type="spellEnd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增强，提升特征鲁棒性。</w:t>
            </w:r>
          </w:p>
        </w:tc>
        <w:tc>
          <w:tcPr>
            <w:tcW w:w="236" w:type="dxa"/>
            <w:vAlign w:val="center"/>
            <w:hideMark/>
          </w:tcPr>
          <w:p w14:paraId="6FF9BD3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02D37295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3AC0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AFD0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8EA4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7FC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4D52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CC7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657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C4297F" w:rsidRPr="008444A1" w14:paraId="1DEC15C0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644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700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3A50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E3D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DAC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705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36D7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3C3052C9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293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DAE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B08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B74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4FD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19F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FD6C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529B3D6F" w14:textId="77777777" w:rsidTr="0068500A">
        <w:trPr>
          <w:trHeight w:val="723"/>
          <w:jc w:val="center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BA78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5213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✔</w:t>
            </w:r>
          </w:p>
        </w:tc>
        <w:tc>
          <w:tcPr>
            <w:tcW w:w="1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A3D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dual loss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（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S1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和偶数</w:t>
            </w:r>
            <w:proofErr w:type="gramStart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轮都是</w:t>
            </w:r>
            <w:proofErr w:type="gramEnd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loss_m2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与</w:t>
            </w:r>
            <w:proofErr w:type="spellStart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loss_sm</w:t>
            </w:r>
            <w:proofErr w:type="spellEnd"/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D343" w14:textId="7A30BC7C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Arial"/>
                <w:b/>
                <w:bCs/>
                <w:color w:val="1F1F1F"/>
                <w:kern w:val="0"/>
                <w:szCs w:val="22"/>
                <w14:ligatures w14:val="none"/>
              </w:rPr>
              <w:t>✔</w:t>
            </w:r>
          </w:p>
        </w:tc>
        <w:tc>
          <w:tcPr>
            <w:tcW w:w="16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8ED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Static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F0F0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验证一致性损失的有效性</w:t>
            </w:r>
          </w:p>
        </w:tc>
        <w:tc>
          <w:tcPr>
            <w:tcW w:w="236" w:type="dxa"/>
            <w:vAlign w:val="center"/>
            <w:hideMark/>
          </w:tcPr>
          <w:p w14:paraId="5B010EA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5AFF4B8B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AA56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3650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C74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E36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187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BBD6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在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C 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的基础上，约束强弱视图的特征一致性。</w:t>
            </w:r>
          </w:p>
        </w:tc>
        <w:tc>
          <w:tcPr>
            <w:tcW w:w="236" w:type="dxa"/>
            <w:vAlign w:val="center"/>
            <w:hideMark/>
          </w:tcPr>
          <w:p w14:paraId="1B8F140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6310D197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03E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06F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E47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E5B5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E60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3605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36E0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C4297F" w:rsidRPr="008444A1" w14:paraId="19F59EF4" w14:textId="77777777" w:rsidTr="0068500A">
        <w:trPr>
          <w:trHeight w:val="361"/>
          <w:jc w:val="center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7FE6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E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85F9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✔</w:t>
            </w:r>
          </w:p>
        </w:tc>
        <w:tc>
          <w:tcPr>
            <w:tcW w:w="1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FC5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dual loss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（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S1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和偶数</w:t>
            </w:r>
            <w:proofErr w:type="gramStart"/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轮都是</w:t>
            </w:r>
            <w:proofErr w:type="gramEnd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loss_m2</w:t>
            </w:r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与</w:t>
            </w:r>
            <w:proofErr w:type="spellStart"/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loss_sm</w:t>
            </w:r>
            <w:proofErr w:type="spellEnd"/>
            <w:r w:rsidRPr="008444A1">
              <w:rPr>
                <w:rFonts w:ascii="宋体" w:eastAsia="宋体" w:hAnsi="宋体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839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Segoe UI Symbol" w:eastAsia="等线" w:hAnsi="Segoe UI Symbol" w:cs="Segoe UI Symbol"/>
                <w:color w:val="1F1F1F"/>
                <w:kern w:val="0"/>
                <w:szCs w:val="22"/>
                <w14:ligatures w14:val="none"/>
              </w:rPr>
              <w:t>✔</w:t>
            </w:r>
          </w:p>
        </w:tc>
        <w:tc>
          <w:tcPr>
            <w:tcW w:w="16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5134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Dynamic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17B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Proposed (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完整方法</w:t>
            </w:r>
            <w:r w:rsidRPr="008444A1"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236" w:type="dxa"/>
            <w:vAlign w:val="center"/>
            <w:hideMark/>
          </w:tcPr>
          <w:p w14:paraId="5888FA4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432F24EF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BC78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E52E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9BB8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89FB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CA7D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D31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将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Gamma 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改为动态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 xml:space="preserve"> Soft Warm-up </w:t>
            </w:r>
            <w:r w:rsidRPr="008444A1"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  <w:t>策略，解决初期训练冲突。</w:t>
            </w:r>
          </w:p>
        </w:tc>
        <w:tc>
          <w:tcPr>
            <w:tcW w:w="236" w:type="dxa"/>
            <w:vAlign w:val="center"/>
            <w:hideMark/>
          </w:tcPr>
          <w:p w14:paraId="64F5C26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37E3CC8D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BDE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92B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9F7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B9E6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6C1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AFC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E738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C4297F" w:rsidRPr="008444A1" w14:paraId="7A65DC0D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1F6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FA421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8624C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F56B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F4B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7116F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49A07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4297F" w:rsidRPr="008444A1" w14:paraId="13994675" w14:textId="77777777" w:rsidTr="0068500A">
        <w:trPr>
          <w:trHeight w:val="361"/>
          <w:jc w:val="center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D2F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108A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B3F52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07AE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6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5E59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19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68C0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Arial" w:eastAsia="等线" w:hAnsi="Arial" w:cs="Arial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8795" w14:textId="77777777" w:rsidR="00C4297F" w:rsidRPr="008444A1" w:rsidRDefault="00C4297F" w:rsidP="00C4297F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472E7C4" w14:textId="77777777" w:rsidR="00C4297F" w:rsidRDefault="00C4297F">
      <w:pPr>
        <w:rPr>
          <w:rFonts w:hint="eastAsia"/>
        </w:rPr>
      </w:pPr>
    </w:p>
    <w:sectPr w:rsidR="00C4297F" w:rsidSect="008444A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D8"/>
    <w:rsid w:val="0068500A"/>
    <w:rsid w:val="0073081A"/>
    <w:rsid w:val="007B78CC"/>
    <w:rsid w:val="008444A1"/>
    <w:rsid w:val="00BA2D4E"/>
    <w:rsid w:val="00BC10D8"/>
    <w:rsid w:val="00C4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75B47"/>
  <w15:chartTrackingRefBased/>
  <w15:docId w15:val="{76374E54-DAD2-4133-900E-75BF6F7B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10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恩杰 何</dc:creator>
  <cp:keywords/>
  <dc:description/>
  <cp:lastModifiedBy>恩杰 何</cp:lastModifiedBy>
  <cp:revision>4</cp:revision>
  <dcterms:created xsi:type="dcterms:W3CDTF">2026-01-18T03:42:00Z</dcterms:created>
  <dcterms:modified xsi:type="dcterms:W3CDTF">2026-01-18T03:51:00Z</dcterms:modified>
</cp:coreProperties>
</file>