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before="0" w:line="240" w:lineRule="auto"/>
        <w:contextualSpacing w:val="0"/>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Geometrijski algoritmi @ MATF</w:t>
      </w:r>
    </w:p>
    <w:p w:rsidR="00000000" w:rsidDel="00000000" w:rsidP="00000000" w:rsidRDefault="00000000" w:rsidRPr="00000000" w14:paraId="00000001">
      <w:pPr>
        <w:pStyle w:val="Title"/>
        <w:contextualSpacing w:val="0"/>
        <w:rPr>
          <w:b w:val="1"/>
        </w:rPr>
      </w:pPr>
      <w:bookmarkStart w:colFirst="0" w:colLast="0" w:name="_gjdgxs" w:id="0"/>
      <w:bookmarkEnd w:id="0"/>
      <w:r w:rsidDel="00000000" w:rsidR="00000000" w:rsidRPr="00000000">
        <w:rPr>
          <w:b w:val="1"/>
          <w:rtl w:val="0"/>
        </w:rPr>
        <w:t xml:space="preserve">Konstrukcija Voronoj dijagrama</w:t>
      </w:r>
    </w:p>
    <w:p w:rsidR="00000000" w:rsidDel="00000000" w:rsidP="00000000" w:rsidRDefault="00000000" w:rsidRPr="00000000" w14:paraId="00000002">
      <w:pPr>
        <w:pStyle w:val="Subtitle"/>
        <w:contextualSpacing w:val="0"/>
        <w:rPr>
          <w:rFonts w:ascii="Open Sans" w:cs="Open Sans" w:eastAsia="Open Sans" w:hAnsi="Open Sans"/>
          <w:sz w:val="36"/>
          <w:szCs w:val="36"/>
        </w:rPr>
      </w:pPr>
      <w:bookmarkStart w:colFirst="0" w:colLast="0" w:name="_30j0zll" w:id="1"/>
      <w:bookmarkEnd w:id="1"/>
      <w:r w:rsidDel="00000000" w:rsidR="00000000" w:rsidRPr="00000000">
        <w:rPr>
          <w:rFonts w:ascii="Open Sans" w:cs="Open Sans" w:eastAsia="Open Sans" w:hAnsi="Open Sans"/>
          <w:color w:val="000000"/>
          <w:sz w:val="36"/>
          <w:szCs w:val="36"/>
          <w:rtl w:val="0"/>
        </w:rPr>
        <w:t xml:space="preserve">Filip Novović</w:t>
      </w:r>
      <w:r w:rsidDel="00000000" w:rsidR="00000000" w:rsidRPr="00000000">
        <w:rPr>
          <w:rtl w:val="0"/>
        </w:rPr>
      </w:r>
    </w:p>
    <w:p w:rsidR="00000000" w:rsidDel="00000000" w:rsidP="00000000" w:rsidRDefault="00000000" w:rsidRPr="00000000" w14:paraId="00000003">
      <w:pPr>
        <w:spacing w:before="60" w:lineRule="auto"/>
        <w:contextualSpacing w:val="0"/>
        <w:rPr/>
      </w:pPr>
      <w:r w:rsidDel="00000000" w:rsidR="00000000" w:rsidRPr="00000000">
        <w:rPr>
          <w:sz w:val="24"/>
          <w:szCs w:val="24"/>
        </w:rPr>
        <w:drawing>
          <wp:inline distB="114300" distT="114300" distL="114300" distR="114300">
            <wp:extent cx="5943600" cy="38100"/>
            <wp:effectExtent b="0" l="0" r="0" t="0"/>
            <wp:docPr descr="horizontal line" id="6" name="image20.png"/>
            <a:graphic>
              <a:graphicData uri="http://schemas.openxmlformats.org/drawingml/2006/picture">
                <pic:pic>
                  <pic:nvPicPr>
                    <pic:cNvPr descr="horizontal line" id="0" name="image20.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spacing w:before="120" w:lineRule="auto"/>
        <w:contextualSpacing w:val="0"/>
        <w:rPr>
          <w:b w:val="0"/>
          <w:sz w:val="22"/>
          <w:szCs w:val="22"/>
        </w:rPr>
      </w:pPr>
      <w:bookmarkStart w:colFirst="0" w:colLast="0" w:name="_1fob9te" w:id="2"/>
      <w:bookmarkEnd w:id="2"/>
      <w:r w:rsidDel="00000000" w:rsidR="00000000" w:rsidRPr="00000000">
        <w:rPr>
          <w:b w:val="0"/>
          <w:sz w:val="22"/>
          <w:szCs w:val="22"/>
        </w:rPr>
        <w:drawing>
          <wp:inline distB="114300" distT="114300" distL="114300" distR="114300">
            <wp:extent cx="5943600" cy="3136900"/>
            <wp:effectExtent b="0" l="0" r="0" t="0"/>
            <wp:docPr id="11"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contextualSpacing w:val="0"/>
        <w:rPr/>
      </w:pPr>
      <w:bookmarkStart w:colFirst="0" w:colLast="0" w:name="_3znysh7" w:id="3"/>
      <w:bookmarkEnd w:id="3"/>
      <w:r w:rsidDel="00000000" w:rsidR="00000000" w:rsidRPr="00000000">
        <w:rPr>
          <w:rtl w:val="0"/>
        </w:rPr>
        <w:t xml:space="preserve">Opis problema</w:t>
      </w:r>
    </w:p>
    <w:p w:rsidR="00000000" w:rsidDel="00000000" w:rsidP="00000000" w:rsidRDefault="00000000" w:rsidRPr="00000000" w14:paraId="00000006">
      <w:pPr>
        <w:contextualSpacing w:val="0"/>
        <w:jc w:val="both"/>
        <w:rPr/>
      </w:pPr>
      <w:r w:rsidDel="00000000" w:rsidR="00000000" w:rsidRPr="00000000">
        <w:rPr>
          <w:b w:val="1"/>
          <w:rtl w:val="0"/>
        </w:rPr>
        <w:t xml:space="preserve">Voronoj dijagram Vor(P)</w:t>
      </w:r>
      <w:r w:rsidDel="00000000" w:rsidR="00000000" w:rsidRPr="00000000">
        <w:rPr>
          <w:rtl w:val="0"/>
        </w:rPr>
        <w:t xml:space="preserve"> skupa tačaka P={</w:t>
      </w:r>
      <m:oMath>
        <m:sSub>
          <m:sSubPr>
            <m:ctrlPr>
              <w:rPr>
                <w:rFonts w:ascii="Cambria" w:cs="Cambria" w:eastAsia="Cambria" w:hAnsi="Cambria"/>
              </w:rPr>
            </m:ctrlPr>
          </m:sSubPr>
          <m:e>
            <m:r>
              <w:rPr>
                <w:rFonts w:ascii="Cambria" w:cs="Cambria" w:eastAsia="Cambria" w:hAnsi="Cambria"/>
              </w:rPr>
              <m:t xml:space="preserve">P</m:t>
            </m:r>
          </m:e>
          <m:sub>
            <m:r>
              <w:rPr>
                <w:rFonts w:ascii="Cambria" w:cs="Cambria" w:eastAsia="Cambria" w:hAnsi="Cambria"/>
              </w:rPr>
              <m:t xml:space="preserve">1</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P</m:t>
            </m:r>
          </m:e>
          <m:sub>
            <m:r>
              <w:rPr>
                <w:rFonts w:ascii="Cambria" w:cs="Cambria" w:eastAsia="Cambria" w:hAnsi="Cambria"/>
              </w:rPr>
              <m:t xml:space="preserve">2</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P</m:t>
            </m:r>
          </m:e>
          <m:sub>
            <m:r>
              <w:rPr>
                <w:rFonts w:ascii="Cambria" w:cs="Cambria" w:eastAsia="Cambria" w:hAnsi="Cambria"/>
              </w:rPr>
              <m:t xml:space="preserve">n</m:t>
            </m:r>
          </m:sub>
        </m:sSub>
      </m:oMath>
      <w:r w:rsidDel="00000000" w:rsidR="00000000" w:rsidRPr="00000000">
        <w:rPr>
          <w:rtl w:val="0"/>
        </w:rPr>
        <w:t xml:space="preserve"> } je razlaganje ravni na oblasti takve da tačka </w:t>
      </w:r>
      <m:oMath>
        <m:r>
          <w:rPr>
            <w:rFonts w:ascii="Cambria" w:cs="Cambria" w:eastAsia="Cambria" w:hAnsi="Cambria"/>
          </w:rPr>
          <m:t xml:space="preserve">X</m:t>
        </m:r>
      </m:oMath>
      <w:r w:rsidDel="00000000" w:rsidR="00000000" w:rsidRPr="00000000">
        <w:rPr>
          <w:rtl w:val="0"/>
        </w:rPr>
        <w:t xml:space="preserve"> pripada oblasti tačke </w:t>
      </w:r>
      <m:oMath>
        <m:sSub>
          <m:sSubPr>
            <m:ctrlPr>
              <w:rPr>
                <w:rFonts w:ascii="Cambria" w:cs="Cambria" w:eastAsia="Cambria" w:hAnsi="Cambria"/>
              </w:rPr>
            </m:ctrlPr>
          </m:sSubPr>
          <m:e>
            <m:r>
              <w:rPr>
                <w:rFonts w:ascii="Cambria" w:cs="Cambria" w:eastAsia="Cambria" w:hAnsi="Cambria"/>
              </w:rPr>
              <m:t xml:space="preserve">P</m:t>
            </m:r>
          </m:e>
          <m:sub>
            <m:r>
              <w:rPr>
                <w:rFonts w:ascii="Cambria" w:cs="Cambria" w:eastAsia="Cambria" w:hAnsi="Cambria"/>
              </w:rPr>
              <m:t xml:space="preserve">i</m:t>
            </m:r>
          </m:sub>
        </m:sSub>
      </m:oMath>
      <w:r w:rsidDel="00000000" w:rsidR="00000000" w:rsidRPr="00000000">
        <w:rPr>
          <w:rtl w:val="0"/>
        </w:rPr>
        <w:t xml:space="preserve"> ako i samo ako važi:</w:t>
      </w:r>
    </w:p>
    <w:p w:rsidR="00000000" w:rsidDel="00000000" w:rsidP="00000000" w:rsidRDefault="00000000" w:rsidRPr="00000000" w14:paraId="00000007">
      <w:pPr>
        <w:contextualSpacing w:val="0"/>
        <w:jc w:val="center"/>
        <w:rPr/>
      </w:pPr>
      <m:oMath>
        <m:r>
          <w:rPr>
            <w:rFonts w:ascii="Cambria" w:cs="Cambria" w:eastAsia="Cambria" w:hAnsi="Cambria"/>
          </w:rPr>
          <m:t xml:space="preserve">d</m:t>
        </m:r>
        <m:d>
          <m:dPr>
            <m:begChr m:val="("/>
            <m:endChr m:val=")"/>
            <m:ctrlPr>
              <w:rPr>
                <w:rFonts w:ascii="Cambria" w:cs="Cambria" w:eastAsia="Cambria" w:hAnsi="Cambria"/>
              </w:rPr>
            </m:ctrlPr>
          </m:dPr>
          <m:e>
            <m:r>
              <w:rPr>
                <w:rFonts w:ascii="Cambria" w:cs="Cambria" w:eastAsia="Cambria" w:hAnsi="Cambria"/>
              </w:rPr>
              <m:t xml:space="preserve">X,</m:t>
            </m:r>
            <m:sSub>
              <m:sSubPr>
                <m:ctrlPr>
                  <w:rPr>
                    <w:rFonts w:ascii="Cambria" w:cs="Cambria" w:eastAsia="Cambria" w:hAnsi="Cambria"/>
                  </w:rPr>
                </m:ctrlPr>
              </m:sSubPr>
              <m:e>
                <m:r>
                  <w:rPr>
                    <w:rFonts w:ascii="Cambria" w:cs="Cambria" w:eastAsia="Cambria" w:hAnsi="Cambria"/>
                  </w:rPr>
                  <m:t xml:space="preserve">P</m:t>
                </m:r>
              </m:e>
              <m:sub>
                <m:r>
                  <w:rPr>
                    <w:rFonts w:ascii="Cambria" w:cs="Cambria" w:eastAsia="Cambria" w:hAnsi="Cambria"/>
                  </w:rPr>
                  <m:t xml:space="preserve">i</m:t>
                </m:r>
              </m:sub>
            </m:sSub>
          </m:e>
        </m:d>
        <m:r>
          <w:rPr>
            <w:rFonts w:ascii="Cambria" w:cs="Cambria" w:eastAsia="Cambria" w:hAnsi="Cambria"/>
          </w:rPr>
          <m:t xml:space="preserve">&lt;d(X,</m:t>
        </m:r>
        <m:sSub>
          <m:sSubPr>
            <m:ctrlPr>
              <w:rPr>
                <w:rFonts w:ascii="Cambria" w:cs="Cambria" w:eastAsia="Cambria" w:hAnsi="Cambria"/>
              </w:rPr>
            </m:ctrlPr>
          </m:sSubPr>
          <m:e>
            <m:r>
              <w:rPr>
                <w:rFonts w:ascii="Cambria" w:cs="Cambria" w:eastAsia="Cambria" w:hAnsi="Cambria"/>
              </w:rPr>
              <m:t xml:space="preserve">P</m:t>
            </m:r>
          </m:e>
          <m:sub>
            <m:r>
              <w:rPr>
                <w:rFonts w:ascii="Cambria" w:cs="Cambria" w:eastAsia="Cambria" w:hAnsi="Cambria"/>
              </w:rPr>
              <m:t xml:space="preserve">j</m:t>
            </m:r>
          </m:sub>
        </m:sSub>
        <m:r>
          <w:rPr>
            <w:rFonts w:ascii="Cambria" w:cs="Cambria" w:eastAsia="Cambria" w:hAnsi="Cambria"/>
          </w:rPr>
          <m:t xml:space="preserve">)</m:t>
        </m:r>
      </m:oMath>
      <w:r w:rsidDel="00000000" w:rsidR="00000000" w:rsidRPr="00000000">
        <w:rPr>
          <w:rtl w:val="0"/>
        </w:rPr>
        <w:t xml:space="preserve">, za svako </w:t>
      </w:r>
      <m:oMath>
        <m:r>
          <w:rPr>
            <w:rFonts w:ascii="Cambria" w:cs="Cambria" w:eastAsia="Cambria" w:hAnsi="Cambria"/>
          </w:rPr>
          <m:t xml:space="preserve">i≠j</m:t>
        </m:r>
      </m:oMath>
      <w:r w:rsidDel="00000000" w:rsidR="00000000" w:rsidRPr="00000000">
        <w:rPr>
          <w:rtl w:val="0"/>
        </w:rPr>
      </w:r>
    </w:p>
    <w:p w:rsidR="00000000" w:rsidDel="00000000" w:rsidP="00000000" w:rsidRDefault="00000000" w:rsidRPr="00000000" w14:paraId="00000008">
      <w:pPr>
        <w:contextualSpacing w:val="0"/>
        <w:jc w:val="both"/>
        <w:rPr/>
      </w:pPr>
      <w:r w:rsidDel="00000000" w:rsidR="00000000" w:rsidRPr="00000000">
        <w:rPr>
          <w:rtl w:val="0"/>
        </w:rPr>
        <w:t xml:space="preserve">Oblast tačke </w:t>
      </w:r>
      <m:oMath>
        <m:sSub>
          <m:sSubPr>
            <m:ctrlPr>
              <w:rPr>
                <w:rFonts w:ascii="Cambria" w:cs="Cambria" w:eastAsia="Cambria" w:hAnsi="Cambria"/>
              </w:rPr>
            </m:ctrlPr>
          </m:sSubPr>
          <m:e>
            <m:r>
              <w:rPr>
                <w:rFonts w:ascii="Cambria" w:cs="Cambria" w:eastAsia="Cambria" w:hAnsi="Cambria"/>
              </w:rPr>
              <m:t xml:space="preserve">P</m:t>
            </m:r>
          </m:e>
          <m:sub>
            <m:r>
              <w:rPr>
                <w:rFonts w:ascii="Cambria" w:cs="Cambria" w:eastAsia="Cambria" w:hAnsi="Cambria"/>
              </w:rPr>
              <m:t xml:space="preserve">i</m:t>
            </m:r>
          </m:sub>
        </m:sSub>
      </m:oMath>
      <w:r w:rsidDel="00000000" w:rsidR="00000000" w:rsidRPr="00000000">
        <w:rPr>
          <w:rtl w:val="0"/>
        </w:rPr>
        <w:t xml:space="preserve"> naziva se Voronoj ćelija tačke </w:t>
      </w:r>
      <m:oMath>
        <m:sSub>
          <m:sSubPr>
            <m:ctrlPr>
              <w:rPr>
                <w:rFonts w:ascii="Cambria" w:cs="Cambria" w:eastAsia="Cambria" w:hAnsi="Cambria"/>
              </w:rPr>
            </m:ctrlPr>
          </m:sSubPr>
          <m:e>
            <m:r>
              <w:rPr>
                <w:rFonts w:ascii="Cambria" w:cs="Cambria" w:eastAsia="Cambria" w:hAnsi="Cambria"/>
              </w:rPr>
              <m:t xml:space="preserve">P</m:t>
            </m:r>
          </m:e>
          <m:sub>
            <m:r>
              <w:rPr>
                <w:rFonts w:ascii="Cambria" w:cs="Cambria" w:eastAsia="Cambria" w:hAnsi="Cambria"/>
              </w:rPr>
              <m:t xml:space="preserve">i</m:t>
            </m:r>
          </m:sub>
        </m:sSub>
      </m:oMath>
      <w:r w:rsidDel="00000000" w:rsidR="00000000" w:rsidRPr="00000000">
        <w:rPr>
          <w:rtl w:val="0"/>
        </w:rPr>
        <w:t xml:space="preserve"> i označava se sa </w:t>
      </w:r>
      <m:oMath>
        <m:r>
          <w:rPr>
            <w:rFonts w:ascii="Cambria" w:cs="Cambria" w:eastAsia="Cambria" w:hAnsi="Cambria"/>
          </w:rPr>
          <m:t xml:space="preserve">v(</m:t>
        </m:r>
        <m:sSub>
          <m:sSubPr>
            <m:ctrlPr>
              <w:rPr>
                <w:rFonts w:ascii="Cambria" w:cs="Cambria" w:eastAsia="Cambria" w:hAnsi="Cambria"/>
              </w:rPr>
            </m:ctrlPr>
          </m:sSubPr>
          <m:e>
            <m:r>
              <w:rPr>
                <w:rFonts w:ascii="Cambria" w:cs="Cambria" w:eastAsia="Cambria" w:hAnsi="Cambria"/>
              </w:rPr>
              <m:t xml:space="preserve">P</m:t>
            </m:r>
          </m:e>
          <m:sub>
            <m:r>
              <w:rPr>
                <w:rFonts w:ascii="Cambria" w:cs="Cambria" w:eastAsia="Cambria" w:hAnsi="Cambria"/>
              </w:rPr>
              <m:t xml:space="preserve">i</m:t>
            </m:r>
          </m:sub>
        </m:sSub>
      </m:oMath>
      <w:r w:rsidDel="00000000" w:rsidR="00000000" w:rsidRPr="00000000">
        <w:rPr>
          <w:rtl w:val="0"/>
        </w:rPr>
        <w:t xml:space="preserve">)</w:t>
      </w:r>
    </w:p>
    <w:p w:rsidR="00000000" w:rsidDel="00000000" w:rsidP="00000000" w:rsidRDefault="00000000" w:rsidRPr="00000000" w14:paraId="00000009">
      <w:pPr>
        <w:contextualSpacing w:val="0"/>
        <w:jc w:val="both"/>
        <w:rPr>
          <w:i w:val="1"/>
        </w:rPr>
      </w:pPr>
      <w:r w:rsidDel="00000000" w:rsidR="00000000" w:rsidRPr="00000000">
        <w:rPr>
          <w:b w:val="1"/>
          <w:rtl w:val="0"/>
        </w:rPr>
        <w:t xml:space="preserve">Ulaz</w:t>
      </w:r>
      <w:r w:rsidDel="00000000" w:rsidR="00000000" w:rsidRPr="00000000">
        <w:rPr>
          <w:rtl w:val="0"/>
        </w:rPr>
        <w:t xml:space="preserve">: </w:t>
      </w:r>
      <w:r w:rsidDel="00000000" w:rsidR="00000000" w:rsidRPr="00000000">
        <w:rPr>
          <w:i w:val="1"/>
          <w:rtl w:val="0"/>
        </w:rPr>
        <w:t xml:space="preserve">skup od n tačaka u ravni</w:t>
      </w:r>
    </w:p>
    <w:p w:rsidR="00000000" w:rsidDel="00000000" w:rsidP="00000000" w:rsidRDefault="00000000" w:rsidRPr="00000000" w14:paraId="0000000A">
      <w:pPr>
        <w:contextualSpacing w:val="0"/>
        <w:jc w:val="both"/>
        <w:rPr>
          <w:i w:val="1"/>
        </w:rPr>
      </w:pPr>
      <w:r w:rsidDel="00000000" w:rsidR="00000000" w:rsidRPr="00000000">
        <w:rPr>
          <w:b w:val="1"/>
          <w:rtl w:val="0"/>
        </w:rPr>
        <w:t xml:space="preserve">Izlaz</w:t>
      </w:r>
      <w:r w:rsidDel="00000000" w:rsidR="00000000" w:rsidRPr="00000000">
        <w:rPr>
          <w:rtl w:val="0"/>
        </w:rPr>
        <w:t xml:space="preserve">:</w:t>
      </w:r>
      <w:r w:rsidDel="00000000" w:rsidR="00000000" w:rsidRPr="00000000">
        <w:rPr>
          <w:i w:val="1"/>
          <w:rtl w:val="0"/>
        </w:rPr>
        <w:t xml:space="preserve"> podela ravni na regione najbližih tačaka zadatim tačkama</w:t>
      </w:r>
    </w:p>
    <w:p w:rsidR="00000000" w:rsidDel="00000000" w:rsidP="00000000" w:rsidRDefault="00000000" w:rsidRPr="00000000" w14:paraId="0000000B">
      <w:pPr>
        <w:contextualSpacing w:val="0"/>
        <w:jc w:val="both"/>
        <w:rPr>
          <w:i w:val="1"/>
        </w:rPr>
      </w:pPr>
      <w:r w:rsidDel="00000000" w:rsidR="00000000" w:rsidRPr="00000000">
        <w:rPr>
          <w:rtl w:val="0"/>
        </w:rPr>
      </w:r>
    </w:p>
    <w:p w:rsidR="00000000" w:rsidDel="00000000" w:rsidP="00000000" w:rsidRDefault="00000000" w:rsidRPr="00000000" w14:paraId="0000000C">
      <w:pPr>
        <w:contextualSpacing w:val="0"/>
        <w:jc w:val="both"/>
        <w:rPr>
          <w:i w:val="1"/>
        </w:rPr>
      </w:pPr>
      <w:r w:rsidDel="00000000" w:rsidR="00000000" w:rsidRPr="00000000">
        <w:rPr>
          <w:rtl w:val="0"/>
        </w:rPr>
      </w:r>
    </w:p>
    <w:p w:rsidR="00000000" w:rsidDel="00000000" w:rsidP="00000000" w:rsidRDefault="00000000" w:rsidRPr="00000000" w14:paraId="0000000D">
      <w:pPr>
        <w:pStyle w:val="Heading3"/>
        <w:contextualSpacing w:val="0"/>
        <w:rPr/>
      </w:pPr>
      <w:bookmarkStart w:colFirst="0" w:colLast="0" w:name="_2et92p0" w:id="4"/>
      <w:bookmarkEnd w:id="4"/>
      <w:r w:rsidDel="00000000" w:rsidR="00000000" w:rsidRPr="00000000">
        <w:rPr>
          <w:rtl w:val="0"/>
        </w:rPr>
        <w:t xml:space="preserve">Naivno rešenje problema </w:t>
      </w:r>
    </w:p>
    <w:p w:rsidR="00000000" w:rsidDel="00000000" w:rsidP="00000000" w:rsidRDefault="00000000" w:rsidRPr="00000000" w14:paraId="0000000E">
      <w:pPr>
        <w:contextualSpacing w:val="0"/>
        <w:rPr/>
      </w:pPr>
      <w:r w:rsidDel="00000000" w:rsidR="00000000" w:rsidRPr="00000000">
        <w:rPr>
          <w:rtl w:val="0"/>
        </w:rPr>
        <w:t xml:space="preserve">Najjednostavnije rešenje za konstrukciju Voronoj dijagrama zasnovano je na gruboj sili. Za određivanje oblasti  </w:t>
      </w:r>
      <m:oMath>
        <m:r>
          <w:rPr>
            <w:rFonts w:ascii="Cambria" w:cs="Cambria" w:eastAsia="Cambria" w:hAnsi="Cambria"/>
          </w:rPr>
          <m:t xml:space="preserve">v(</m:t>
        </m:r>
        <m:sSub>
          <m:sSubPr>
            <m:ctrlPr>
              <w:rPr>
                <w:rFonts w:ascii="Cambria" w:cs="Cambria" w:eastAsia="Cambria" w:hAnsi="Cambria"/>
              </w:rPr>
            </m:ctrlPr>
          </m:sSubPr>
          <m:e>
            <m:r>
              <w:rPr>
                <w:rFonts w:ascii="Cambria" w:cs="Cambria" w:eastAsia="Cambria" w:hAnsi="Cambria"/>
              </w:rPr>
              <m:t xml:space="preserve">P</m:t>
            </m:r>
          </m:e>
          <m:sub>
            <m:r>
              <w:rPr>
                <w:rFonts w:ascii="Cambria" w:cs="Cambria" w:eastAsia="Cambria" w:hAnsi="Cambria"/>
              </w:rPr>
              <m:t xml:space="preserve">i</m:t>
            </m:r>
          </m:sub>
        </m:sSub>
      </m:oMath>
      <w:r w:rsidDel="00000000" w:rsidR="00000000" w:rsidRPr="00000000">
        <w:rPr>
          <w:rtl w:val="0"/>
        </w:rPr>
        <w:t xml:space="preserve">) računa se presek svih poluravni </w:t>
      </w:r>
      <m:oMath>
        <m:r>
          <w:rPr>
            <w:rFonts w:ascii="Cambria" w:cs="Cambria" w:eastAsia="Cambria" w:hAnsi="Cambria"/>
          </w:rPr>
          <m:t xml:space="preserve">h(</m:t>
        </m:r>
        <m:sSub>
          <m:sSubPr>
            <m:ctrlPr>
              <w:rPr>
                <w:rFonts w:ascii="Cambria" w:cs="Cambria" w:eastAsia="Cambria" w:hAnsi="Cambria"/>
              </w:rPr>
            </m:ctrlPr>
          </m:sSubPr>
          <m:e>
            <m:r>
              <w:rPr>
                <w:rFonts w:ascii="Cambria" w:cs="Cambria" w:eastAsia="Cambria" w:hAnsi="Cambria"/>
              </w:rPr>
              <m:t xml:space="preserve">P</m:t>
            </m:r>
          </m:e>
          <m:sub>
            <m:r>
              <w:rPr>
                <w:rFonts w:ascii="Cambria" w:cs="Cambria" w:eastAsia="Cambria" w:hAnsi="Cambria"/>
              </w:rPr>
              <m:t xml:space="preserve">i</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P</m:t>
            </m:r>
          </m:e>
          <m:sub>
            <m:r>
              <w:rPr>
                <w:rFonts w:ascii="Cambria" w:cs="Cambria" w:eastAsia="Cambria" w:hAnsi="Cambria"/>
              </w:rPr>
              <m:t xml:space="preserve">j</m:t>
            </m:r>
          </m:sub>
        </m:sSub>
        <m:r>
          <w:rPr>
            <w:rFonts w:ascii="Cambria" w:cs="Cambria" w:eastAsia="Cambria" w:hAnsi="Cambria"/>
          </w:rPr>
          <m:t xml:space="preserve">)</m:t>
        </m:r>
      </m:oMath>
      <w:r w:rsidDel="00000000" w:rsidR="00000000" w:rsidRPr="00000000">
        <w:rPr>
          <w:rtl w:val="0"/>
        </w:rPr>
        <w:t xml:space="preserve"> za svako </w:t>
      </w:r>
      <m:oMath>
        <m:r>
          <w:rPr>
            <w:rFonts w:ascii="Cambria" w:cs="Cambria" w:eastAsia="Cambria" w:hAnsi="Cambria"/>
          </w:rPr>
          <m:t xml:space="preserve">j</m:t>
        </m:r>
      </m:oMath>
      <w:r w:rsidDel="00000000" w:rsidR="00000000" w:rsidRPr="00000000">
        <w:rPr>
          <w:rtl w:val="0"/>
        </w:rPr>
        <w:t xml:space="preserve"> takvo da je    </w:t>
      </w:r>
      <m:oMath>
        <m:r>
          <w:rPr>
            <w:rFonts w:ascii="Cambria" w:cs="Cambria" w:eastAsia="Cambria" w:hAnsi="Cambria"/>
          </w:rPr>
          <m:t xml:space="preserve">j≠i</m:t>
        </m:r>
      </m:oMath>
      <w:r w:rsidDel="00000000" w:rsidR="00000000" w:rsidRPr="00000000">
        <w:rPr>
          <w:rtl w:val="0"/>
        </w:rPr>
        <w:t xml:space="preserve">. Navedeni pristup je jednostavan, ali nedovoljno efikasan jer uključuje mnogo nepotrebnog rada: sedišta koja su daleko od </w:t>
      </w:r>
      <m:oMath>
        <m:sSub>
          <m:sSubPr>
            <m:ctrlPr>
              <w:rPr>
                <w:rFonts w:ascii="Cambria" w:cs="Cambria" w:eastAsia="Cambria" w:hAnsi="Cambria"/>
              </w:rPr>
            </m:ctrlPr>
          </m:sSubPr>
          <m:e>
            <m:r>
              <w:rPr>
                <w:rFonts w:ascii="Cambria" w:cs="Cambria" w:eastAsia="Cambria" w:hAnsi="Cambria"/>
              </w:rPr>
              <m:t xml:space="preserve">P</m:t>
            </m:r>
          </m:e>
          <m:sub>
            <m:r>
              <w:rPr>
                <w:rFonts w:ascii="Cambria" w:cs="Cambria" w:eastAsia="Cambria" w:hAnsi="Cambria"/>
              </w:rPr>
              <m:t xml:space="preserve">i</m:t>
            </m:r>
          </m:sub>
        </m:sSub>
      </m:oMath>
      <w:r w:rsidDel="00000000" w:rsidR="00000000" w:rsidRPr="00000000">
        <w:rPr>
          <w:rtl w:val="0"/>
        </w:rPr>
        <w:t xml:space="preserve"> nemaju uticaj na ćeliju </w:t>
      </w:r>
      <m:oMath>
        <m:sSub>
          <m:sSubPr>
            <m:ctrlPr>
              <w:rPr>
                <w:rFonts w:ascii="Cambria" w:cs="Cambria" w:eastAsia="Cambria" w:hAnsi="Cambria"/>
              </w:rPr>
            </m:ctrlPr>
          </m:sSubPr>
          <m:e>
            <m:r>
              <w:rPr>
                <w:rFonts w:ascii="Cambria" w:cs="Cambria" w:eastAsia="Cambria" w:hAnsi="Cambria"/>
              </w:rPr>
              <m:t xml:space="preserve">v(P</m:t>
            </m:r>
          </m:e>
          <m:sub>
            <m:r>
              <w:rPr>
                <w:rFonts w:ascii="Cambria" w:cs="Cambria" w:eastAsia="Cambria" w:hAnsi="Cambria"/>
              </w:rPr>
              <m:t xml:space="preserve">i</m:t>
            </m:r>
          </m:sub>
        </m:sSub>
        <m:r>
          <w:rPr>
            <w:rFonts w:ascii="Cambria" w:cs="Cambria" w:eastAsia="Cambria" w:hAnsi="Cambria"/>
          </w:rPr>
          <m:t xml:space="preserve">)</m:t>
        </m:r>
      </m:oMath>
      <w:r w:rsidDel="00000000" w:rsidR="00000000" w:rsidRPr="00000000">
        <w:rPr>
          <w:rtl w:val="0"/>
        </w:rPr>
        <w:t xml:space="preserve">.</w:t>
      </w:r>
    </w:p>
    <w:p w:rsidR="00000000" w:rsidDel="00000000" w:rsidP="00000000" w:rsidRDefault="00000000" w:rsidRPr="00000000" w14:paraId="0000000F">
      <w:pPr>
        <w:contextualSpacing w:val="0"/>
        <w:rPr>
          <w:b w:val="1"/>
        </w:rPr>
      </w:pPr>
      <w:r w:rsidDel="00000000" w:rsidR="00000000" w:rsidRPr="00000000">
        <w:rPr>
          <w:b w:val="1"/>
          <w:rtl w:val="0"/>
        </w:rPr>
        <w:t xml:space="preserve">Opis implementacije naivnog algoritma</w:t>
      </w:r>
    </w:p>
    <w:p w:rsidR="00000000" w:rsidDel="00000000" w:rsidP="00000000" w:rsidRDefault="00000000" w:rsidRPr="00000000" w14:paraId="00000010">
      <w:pPr>
        <w:contextualSpacing w:val="0"/>
        <w:rPr/>
      </w:pPr>
      <w:r w:rsidDel="00000000" w:rsidR="00000000" w:rsidRPr="00000000">
        <w:rPr>
          <w:rtl w:val="0"/>
        </w:rPr>
        <w:t xml:space="preserve">Za svako teme region tražimo tako što počnemo od poligona koji je dimenzija površine na kojoj se pokreće algoritam. Teme za koje tražimo tražimo region, nazvaćemo aktivnim temenom. Poligon “seckamo” simetralama koje čini aktivno teme sa ostalim temenima. Kada završimo proveru simetrala sa svim ostalim temenima i ažuriramo poligon koji sadrži aktivno teme, rezultat (taj poligon) proglašavamo regionom aktivnog temena.</w:t>
      </w:r>
    </w:p>
    <w:p w:rsidR="00000000" w:rsidDel="00000000" w:rsidP="00000000" w:rsidRDefault="00000000" w:rsidRPr="00000000" w14:paraId="00000011">
      <w:pPr>
        <w:contextualSpacing w:val="0"/>
        <w:rPr>
          <w:b w:val="1"/>
        </w:rPr>
      </w:pPr>
      <w:r w:rsidDel="00000000" w:rsidR="00000000" w:rsidRPr="00000000">
        <w:rPr>
          <w:b w:val="1"/>
          <w:rtl w:val="0"/>
        </w:rPr>
        <w:t xml:space="preserve">Pseudo-kod implementacije naivnog algoritma</w:t>
      </w:r>
    </w:p>
    <w:p w:rsidR="00000000" w:rsidDel="00000000" w:rsidP="00000000" w:rsidRDefault="00000000" w:rsidRPr="00000000" w14:paraId="00000012">
      <w:pPr>
        <w:contextualSpacing w:val="0"/>
        <w:rPr/>
      </w:pPr>
      <w:r w:rsidDel="00000000" w:rsidR="00000000" w:rsidRPr="00000000">
        <w:rPr/>
        <w:drawing>
          <wp:inline distB="114300" distT="114300" distL="114300" distR="114300">
            <wp:extent cx="5943600" cy="1854200"/>
            <wp:effectExtent b="0" l="0" r="0" t="0"/>
            <wp:docPr id="14"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3"/>
        <w:contextualSpacing w:val="0"/>
        <w:rPr/>
      </w:pPr>
      <w:bookmarkStart w:colFirst="0" w:colLast="0" w:name="_3dy6vkm" w:id="5"/>
      <w:bookmarkEnd w:id="5"/>
      <w:r w:rsidDel="00000000" w:rsidR="00000000" w:rsidRPr="00000000">
        <w:rPr>
          <w:rtl w:val="0"/>
        </w:rPr>
        <w:t xml:space="preserve">Forčenov algoritam</w:t>
      </w:r>
    </w:p>
    <w:p w:rsidR="00000000" w:rsidDel="00000000" w:rsidP="00000000" w:rsidRDefault="00000000" w:rsidRPr="00000000" w14:paraId="00000014">
      <w:pPr>
        <w:contextualSpacing w:val="0"/>
        <w:rPr/>
      </w:pPr>
      <w:bookmarkStart w:colFirst="0" w:colLast="0" w:name="_tyjcwt" w:id="6"/>
      <w:bookmarkEnd w:id="6"/>
      <w:r w:rsidDel="00000000" w:rsidR="00000000" w:rsidRPr="00000000">
        <w:rPr>
          <w:rtl w:val="0"/>
        </w:rPr>
        <w:t xml:space="preserve">Forčenov algoritam zasnovan je na metodi “brišuće prave”. Horizontalna prava l pomera se odozgo nadole i usput konstruiše Voronoj dijagram. Ideja se zasniva na tome da kako l prođe neko teme, mi tom temenu pridružimo parabolu koja se definiše fokusom (temenom) i direktrisom (linijom l). Kada imamo ovako konstruisane parabole za temena koja su iznad prave l grane Voronoj dijagrama tražimo preko preseka susednih parabola. Bitne izmene u stanju pri izvršavanju algoritma se dešavaju samo u određenim tačama pa nije potrebno da se prava l kreće po svim y koordinatama površine na kojoj su temena.  Te tačke kategorišemo kao događaj sedišta i događaj kruga. </w:t>
      </w:r>
      <w:r w:rsidDel="00000000" w:rsidR="00000000" w:rsidRPr="00000000">
        <w:rPr>
          <w:i w:val="1"/>
          <w:rtl w:val="0"/>
        </w:rPr>
        <w:t xml:space="preserve">Događaji sedišta</w:t>
      </w:r>
      <w:r w:rsidDel="00000000" w:rsidR="00000000" w:rsidRPr="00000000">
        <w:rPr>
          <w:rtl w:val="0"/>
        </w:rPr>
        <w:t xml:space="preserve"> su sva temena koja predstavljaju ulaz u algoritam. </w:t>
      </w:r>
      <w:r w:rsidDel="00000000" w:rsidR="00000000" w:rsidRPr="00000000">
        <w:rPr>
          <w:i w:val="1"/>
          <w:rtl w:val="0"/>
        </w:rPr>
        <w:t xml:space="preserve">Događaji kruga </w:t>
      </w:r>
      <w:r w:rsidDel="00000000" w:rsidR="00000000" w:rsidRPr="00000000">
        <w:rPr>
          <w:rtl w:val="0"/>
        </w:rPr>
        <w:t xml:space="preserve">su tačke u kojima iniciramo stvaranje novog temena Voronoj dijagrama.</w:t>
      </w:r>
    </w:p>
    <w:p w:rsidR="00000000" w:rsidDel="00000000" w:rsidP="00000000" w:rsidRDefault="00000000" w:rsidRPr="00000000" w14:paraId="00000015">
      <w:pPr>
        <w:contextualSpacing w:val="0"/>
        <w:rPr>
          <w:b w:val="1"/>
        </w:rPr>
      </w:pPr>
      <w:bookmarkStart w:colFirst="0" w:colLast="0" w:name="_4lkkmdz3t3v" w:id="7"/>
      <w:bookmarkEnd w:id="7"/>
      <w:r w:rsidDel="00000000" w:rsidR="00000000" w:rsidRPr="00000000">
        <w:rPr>
          <w:b w:val="1"/>
          <w:rtl w:val="0"/>
        </w:rPr>
        <w:t xml:space="preserve">Nailazak na događaj sedišta</w:t>
      </w:r>
    </w:p>
    <w:p w:rsidR="00000000" w:rsidDel="00000000" w:rsidP="00000000" w:rsidRDefault="00000000" w:rsidRPr="00000000" w14:paraId="00000016">
      <w:pPr>
        <w:contextualSpacing w:val="0"/>
        <w:rPr/>
      </w:pPr>
      <w:bookmarkStart w:colFirst="0" w:colLast="0" w:name="_hqs949f7la6u" w:id="8"/>
      <w:bookmarkEnd w:id="8"/>
      <w:r w:rsidDel="00000000" w:rsidR="00000000" w:rsidRPr="00000000">
        <w:rPr>
          <w:rtl w:val="0"/>
        </w:rPr>
        <w:t xml:space="preserve">Nastaje nova parabola za teme koje obilazimo. Kako bismo je smestili u strukturu podataka koja čuva </w:t>
      </w:r>
      <w:r w:rsidDel="00000000" w:rsidR="00000000" w:rsidRPr="00000000">
        <w:rPr>
          <w:i w:val="1"/>
          <w:rtl w:val="0"/>
        </w:rPr>
        <w:t xml:space="preserve">liniju fronta</w:t>
      </w:r>
      <w:r w:rsidDel="00000000" w:rsidR="00000000" w:rsidRPr="00000000">
        <w:rPr>
          <w:rtl w:val="0"/>
        </w:rPr>
        <w:t xml:space="preserve"> (dosadašnji skup preseka susednih parabola), moramo da nađemo u već postojećem frontu luk koji je direktno iznad novog temena. Kada smo našli gornji luk, delimo ga na tri manja luka (levi deo je deo starog luka, srednji deo pripada novom luku, desni deo je takođe deo starog luka). Nakon ubacivanja novog luka (i preseka sa starim lukom), proveravamo da li se nova parabola svojim razvijanjem (pomeranjem linije l naniže) približava nekoj drugoj čiji luk pripada frontu a koje su na frontu odvojene jednim lukom. Ako se približava, proveravamo u kojoj tački će se susresti. </w:t>
      </w:r>
    </w:p>
    <w:p w:rsidR="00000000" w:rsidDel="00000000" w:rsidP="00000000" w:rsidRDefault="00000000" w:rsidRPr="00000000" w14:paraId="00000017">
      <w:pPr>
        <w:contextualSpacing w:val="0"/>
        <w:rPr/>
      </w:pPr>
      <w:bookmarkStart w:colFirst="0" w:colLast="0" w:name="_ij2e7ql6eell" w:id="9"/>
      <w:bookmarkEnd w:id="9"/>
      <w:r w:rsidDel="00000000" w:rsidR="00000000" w:rsidRPr="00000000">
        <w:rPr/>
        <w:drawing>
          <wp:inline distB="114300" distT="114300" distL="114300" distR="114300">
            <wp:extent cx="2376488" cy="1331751"/>
            <wp:effectExtent b="0" l="0" r="0" t="0"/>
            <wp:docPr id="16"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2376488" cy="1331751"/>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686050" cy="1347737"/>
            <wp:effectExtent b="0" l="0" r="0" t="0"/>
            <wp:docPr id="15"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2686050" cy="134773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contextualSpacing w:val="0"/>
        <w:rPr/>
      </w:pPr>
      <w:bookmarkStart w:colFirst="0" w:colLast="0" w:name="_c3md2thcmdms" w:id="10"/>
      <w:bookmarkEnd w:id="10"/>
      <w:r w:rsidDel="00000000" w:rsidR="00000000" w:rsidRPr="00000000">
        <w:rPr>
          <w:rtl w:val="0"/>
        </w:rPr>
        <w:t xml:space="preserve">Primer približavanja parabola kojima su fokus C i B i zaklapanje luka koji pripada paraboli A.</w:t>
      </w:r>
    </w:p>
    <w:p w:rsidR="00000000" w:rsidDel="00000000" w:rsidP="00000000" w:rsidRDefault="00000000" w:rsidRPr="00000000" w14:paraId="00000019">
      <w:pPr>
        <w:contextualSpacing w:val="0"/>
        <w:rPr/>
      </w:pPr>
      <w:bookmarkStart w:colFirst="0" w:colLast="0" w:name="_n0do3oqg4131" w:id="11"/>
      <w:bookmarkEnd w:id="11"/>
      <w:r w:rsidDel="00000000" w:rsidR="00000000" w:rsidRPr="00000000">
        <w:rPr>
          <w:rtl w:val="0"/>
        </w:rPr>
        <w:t xml:space="preserve">Tačku koja je po y koordinati manja za dužinu poluprečnika kruga koji čine tačke A, B i C od tačke u kojoj će se susresti parabole, a po x-u ista proglašavamo događajem kruga i ubacujemo je u red događaja koje je potrebno obraditi. Potrebno je još i izbaciti iz reda događaja one događaje kruga u kojima je učestvovao luk na koji smo ubacili novu parabolu.</w:t>
      </w:r>
    </w:p>
    <w:p w:rsidR="00000000" w:rsidDel="00000000" w:rsidP="00000000" w:rsidRDefault="00000000" w:rsidRPr="00000000" w14:paraId="0000001A">
      <w:pPr>
        <w:contextualSpacing w:val="0"/>
        <w:rPr>
          <w:b w:val="1"/>
        </w:rPr>
      </w:pPr>
      <w:bookmarkStart w:colFirst="0" w:colLast="0" w:name="_76f0ry93s7yl" w:id="12"/>
      <w:bookmarkEnd w:id="12"/>
      <w:r w:rsidDel="00000000" w:rsidR="00000000" w:rsidRPr="00000000">
        <w:rPr>
          <w:b w:val="1"/>
          <w:rtl w:val="0"/>
        </w:rPr>
        <w:t xml:space="preserve">Nailazak na događaj kruga</w:t>
      </w:r>
    </w:p>
    <w:p w:rsidR="00000000" w:rsidDel="00000000" w:rsidP="00000000" w:rsidRDefault="00000000" w:rsidRPr="00000000" w14:paraId="0000001B">
      <w:pPr>
        <w:contextualSpacing w:val="0"/>
        <w:rPr/>
      </w:pPr>
      <w:bookmarkStart w:colFirst="0" w:colLast="0" w:name="_hunwe5gl7vtn" w:id="13"/>
      <w:bookmarkEnd w:id="13"/>
      <w:r w:rsidDel="00000000" w:rsidR="00000000" w:rsidRPr="00000000">
        <w:rPr>
          <w:rtl w:val="0"/>
        </w:rPr>
        <w:t xml:space="preserve">Kada obrađujemo događaj kruga koji smo izračunali preko tačke K gde se spajaju lukovi tri parabole (npr. A, B i C), tu tačku K ubacujemo u strukturu koja nam čuva konstruisani Voronoj dijagram kao teme zajedno sa granama koje su se spojile u tom temenu. Dodatno proveravamo da li postoje događaji kruga za lukove koji su postali susedi nakon izbacivanja luka koji je pripadao srednjoj paraboli (luk koji je nestao).</w:t>
      </w:r>
    </w:p>
    <w:p w:rsidR="00000000" w:rsidDel="00000000" w:rsidP="00000000" w:rsidRDefault="00000000" w:rsidRPr="00000000" w14:paraId="0000001C">
      <w:pPr>
        <w:contextualSpacing w:val="0"/>
        <w:rPr>
          <w:b w:val="1"/>
        </w:rPr>
      </w:pPr>
      <w:r w:rsidDel="00000000" w:rsidR="00000000" w:rsidRPr="00000000">
        <w:rPr>
          <w:b w:val="1"/>
          <w:rtl w:val="0"/>
        </w:rPr>
        <w:t xml:space="preserve">Opis implementacije Forčenovog algoritma</w:t>
      </w:r>
    </w:p>
    <w:p w:rsidR="00000000" w:rsidDel="00000000" w:rsidP="00000000" w:rsidRDefault="00000000" w:rsidRPr="00000000" w14:paraId="0000001D">
      <w:pPr>
        <w:contextualSpacing w:val="0"/>
        <w:rPr/>
      </w:pPr>
      <w:bookmarkStart w:colFirst="0" w:colLast="0" w:name="_p6yfaxdad716" w:id="14"/>
      <w:bookmarkEnd w:id="14"/>
      <w:r w:rsidDel="00000000" w:rsidR="00000000" w:rsidRPr="00000000">
        <w:rPr>
          <w:rtl w:val="0"/>
        </w:rPr>
        <w:t xml:space="preserve">Za red događaja je korišćen vector koji čuva elemente tipa VoronoiEvent (dele se na događaj temena i događaj kruga). </w:t>
      </w:r>
    </w:p>
    <w:p w:rsidR="00000000" w:rsidDel="00000000" w:rsidP="00000000" w:rsidRDefault="00000000" w:rsidRPr="00000000" w14:paraId="0000001E">
      <w:pPr>
        <w:contextualSpacing w:val="0"/>
        <w:rPr/>
      </w:pPr>
      <w:bookmarkStart w:colFirst="0" w:colLast="0" w:name="_3oj3l9kkn0p3" w:id="15"/>
      <w:bookmarkEnd w:id="15"/>
      <w:r w:rsidDel="00000000" w:rsidR="00000000" w:rsidRPr="00000000">
        <w:rPr>
          <w:rtl w:val="0"/>
        </w:rPr>
        <w:t xml:space="preserve">Za opisivanje linije fronta je korišćen rečnik (map u C++-u interno koristi uređeno stablo) koji čuva preseke susednih parabola. Uređenje je obezbeđeno posebno dodatim komparatorom koji vrši sortiranje po x koordinati preseka.</w:t>
      </w:r>
    </w:p>
    <w:p w:rsidR="00000000" w:rsidDel="00000000" w:rsidP="00000000" w:rsidRDefault="00000000" w:rsidRPr="00000000" w14:paraId="0000001F">
      <w:pPr>
        <w:pStyle w:val="Heading3"/>
        <w:contextualSpacing w:val="0"/>
        <w:rPr/>
      </w:pPr>
      <w:bookmarkStart w:colFirst="0" w:colLast="0" w:name="_1t3h5sf" w:id="16"/>
      <w:bookmarkEnd w:id="16"/>
      <w:r w:rsidDel="00000000" w:rsidR="00000000" w:rsidRPr="00000000">
        <w:rPr>
          <w:rtl w:val="0"/>
        </w:rPr>
        <w:t xml:space="preserve">Vizuelizacija algoritma </w:t>
      </w:r>
    </w:p>
    <w:p w:rsidR="00000000" w:rsidDel="00000000" w:rsidP="00000000" w:rsidRDefault="00000000" w:rsidRPr="00000000" w14:paraId="00000020">
      <w:pPr>
        <w:contextualSpacing w:val="0"/>
        <w:rPr/>
      </w:pPr>
      <w:r w:rsidDel="00000000" w:rsidR="00000000" w:rsidRPr="00000000">
        <w:rPr/>
        <w:drawing>
          <wp:inline distB="114300" distT="114300" distL="114300" distR="114300">
            <wp:extent cx="5943600" cy="3136900"/>
            <wp:effectExtent b="0" l="0" r="0" t="0"/>
            <wp:docPr id="4"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contextualSpacing w:val="0"/>
        <w:jc w:val="center"/>
        <w:rPr>
          <w:i w:val="1"/>
        </w:rPr>
      </w:pPr>
      <w:r w:rsidDel="00000000" w:rsidR="00000000" w:rsidRPr="00000000">
        <w:rPr>
          <w:i w:val="1"/>
          <w:rtl w:val="0"/>
        </w:rPr>
        <w:t xml:space="preserve">Prikaz nailaska na događaj sedišta (teme 8), primećuje se da su se ubacila dva preseka direktno iznad na luku koji pripada sedištu 7</w:t>
      </w:r>
    </w:p>
    <w:p w:rsidR="00000000" w:rsidDel="00000000" w:rsidP="00000000" w:rsidRDefault="00000000" w:rsidRPr="00000000" w14:paraId="00000022">
      <w:pPr>
        <w:contextualSpacing w:val="0"/>
        <w:rPr/>
      </w:pPr>
      <w:r w:rsidDel="00000000" w:rsidR="00000000" w:rsidRPr="00000000">
        <w:rPr/>
        <w:drawing>
          <wp:inline distB="114300" distT="114300" distL="114300" distR="114300">
            <wp:extent cx="5943600" cy="31242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contextualSpacing w:val="0"/>
        <w:jc w:val="center"/>
        <w:rPr/>
      </w:pPr>
      <w:r w:rsidDel="00000000" w:rsidR="00000000" w:rsidRPr="00000000">
        <w:rPr>
          <w:i w:val="1"/>
          <w:rtl w:val="0"/>
        </w:rPr>
        <w:t xml:space="preserve">Prikaz nailaska na događaj kruga (spajanje lukova 5-0-6), uporediti sa prethodnom slikom. Dodatno se može primetiti promena parabole koja pripada tački 8 (dodata na prethodnoj slici)</w:t>
      </w:r>
      <w:r w:rsidDel="00000000" w:rsidR="00000000" w:rsidRPr="00000000">
        <w:rPr>
          <w:rtl w:val="0"/>
        </w:rPr>
      </w:r>
    </w:p>
    <w:p w:rsidR="00000000" w:rsidDel="00000000" w:rsidP="00000000" w:rsidRDefault="00000000" w:rsidRPr="00000000" w14:paraId="00000024">
      <w:pPr>
        <w:pStyle w:val="Heading2"/>
        <w:contextualSpacing w:val="0"/>
        <w:rPr/>
      </w:pPr>
      <w:bookmarkStart w:colFirst="0" w:colLast="0" w:name="_4d34og8" w:id="17"/>
      <w:bookmarkEnd w:id="17"/>
      <w:r w:rsidDel="00000000" w:rsidR="00000000" w:rsidRPr="00000000">
        <w:rPr>
          <w:rtl w:val="0"/>
        </w:rPr>
        <w:t xml:space="preserve">Poredjenje efikasnosti naivnog i naprednog algoritma</w:t>
      </w:r>
    </w:p>
    <w:p w:rsidR="00000000" w:rsidDel="00000000" w:rsidP="00000000" w:rsidRDefault="00000000" w:rsidRPr="00000000" w14:paraId="00000025">
      <w:pPr>
        <w:contextualSpacing w:val="0"/>
        <w:rPr/>
      </w:pPr>
      <w:r w:rsidDel="00000000" w:rsidR="00000000" w:rsidRPr="00000000">
        <w:rPr/>
        <w:drawing>
          <wp:inline distB="114300" distT="114300" distL="114300" distR="114300">
            <wp:extent cx="5943600" cy="3086100"/>
            <wp:effectExtent b="0" l="0" r="0" t="0"/>
            <wp:docPr id="5"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2"/>
        <w:contextualSpacing w:val="0"/>
        <w:rPr/>
      </w:pPr>
      <w:bookmarkStart w:colFirst="0" w:colLast="0" w:name="_2s8eyo1" w:id="18"/>
      <w:bookmarkEnd w:id="18"/>
      <w:r w:rsidDel="00000000" w:rsidR="00000000" w:rsidRPr="00000000">
        <w:rPr>
          <w:rtl w:val="0"/>
        </w:rPr>
        <w:t xml:space="preserve">Testiranje ispravnosti algoritma</w:t>
      </w:r>
    </w:p>
    <w:p w:rsidR="00000000" w:rsidDel="00000000" w:rsidP="00000000" w:rsidRDefault="00000000" w:rsidRPr="00000000" w14:paraId="00000027">
      <w:pPr>
        <w:contextualSpacing w:val="0"/>
        <w:rPr/>
      </w:pPr>
      <w:r w:rsidDel="00000000" w:rsidR="00000000" w:rsidRPr="00000000">
        <w:rPr>
          <w:rtl w:val="0"/>
        </w:rPr>
        <w:t xml:space="preserve">Provereno je grafičko poklapanje rezultata izvršavanja naivnog i Forčenovog algoritma za konstrukciju Voronoj dijagrama. Na slikama koje predstavljaju test primere zelenom bojom je označen dijagram dobijen izvršavanjem naivnog algoritma, a crnom dijagram dobijen izvršavanjem Forčenovog algoritma.</w:t>
      </w:r>
    </w:p>
    <w:p w:rsidR="00000000" w:rsidDel="00000000" w:rsidP="00000000" w:rsidRDefault="00000000" w:rsidRPr="00000000" w14:paraId="00000028">
      <w:pPr>
        <w:contextualSpacing w:val="0"/>
        <w:jc w:val="center"/>
        <w:rPr/>
      </w:pPr>
      <w:r w:rsidDel="00000000" w:rsidR="00000000" w:rsidRPr="00000000">
        <w:rPr/>
        <w:drawing>
          <wp:inline distB="114300" distT="114300" distL="114300" distR="114300">
            <wp:extent cx="3805380" cy="2001838"/>
            <wp:effectExtent b="0" l="0" r="0" t="0"/>
            <wp:docPr id="13"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3805380" cy="200183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contextualSpacing w:val="0"/>
        <w:jc w:val="center"/>
        <w:rPr>
          <w:i w:val="1"/>
        </w:rPr>
      </w:pPr>
      <w:r w:rsidDel="00000000" w:rsidR="00000000" w:rsidRPr="00000000">
        <w:rPr>
          <w:i w:val="1"/>
          <w:rtl w:val="0"/>
        </w:rPr>
        <w:t xml:space="preserve">Test primer medium.in (7 tačaka)</w:t>
      </w:r>
    </w:p>
    <w:p w:rsidR="00000000" w:rsidDel="00000000" w:rsidP="00000000" w:rsidRDefault="00000000" w:rsidRPr="00000000" w14:paraId="0000002A">
      <w:pPr>
        <w:contextualSpacing w:val="0"/>
        <w:jc w:val="center"/>
        <w:rPr/>
      </w:pPr>
      <w:r w:rsidDel="00000000" w:rsidR="00000000" w:rsidRPr="00000000">
        <w:rPr/>
        <w:drawing>
          <wp:inline distB="114300" distT="114300" distL="114300" distR="114300">
            <wp:extent cx="3795713" cy="1987780"/>
            <wp:effectExtent b="0" l="0" r="0" t="0"/>
            <wp:docPr id="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795713" cy="198778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contextualSpacing w:val="0"/>
        <w:jc w:val="center"/>
        <w:rPr>
          <w:i w:val="1"/>
        </w:rPr>
      </w:pPr>
      <w:r w:rsidDel="00000000" w:rsidR="00000000" w:rsidRPr="00000000">
        <w:rPr>
          <w:i w:val="1"/>
          <w:rtl w:val="0"/>
        </w:rPr>
        <w:t xml:space="preserve">Test primer hard1.in (50 tačaka)</w:t>
      </w:r>
    </w:p>
    <w:p w:rsidR="00000000" w:rsidDel="00000000" w:rsidP="00000000" w:rsidRDefault="00000000" w:rsidRPr="00000000" w14:paraId="0000002C">
      <w:pPr>
        <w:contextualSpacing w:val="0"/>
        <w:jc w:val="center"/>
        <w:rPr/>
      </w:pPr>
      <w:r w:rsidDel="00000000" w:rsidR="00000000" w:rsidRPr="00000000">
        <w:rPr/>
        <w:drawing>
          <wp:inline distB="114300" distT="114300" distL="114300" distR="114300">
            <wp:extent cx="3811408" cy="2001838"/>
            <wp:effectExtent b="0" l="0" r="0" t="0"/>
            <wp:docPr id="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811408" cy="200183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contextualSpacing w:val="0"/>
        <w:jc w:val="center"/>
        <w:rPr>
          <w:i w:val="1"/>
        </w:rPr>
      </w:pPr>
      <w:r w:rsidDel="00000000" w:rsidR="00000000" w:rsidRPr="00000000">
        <w:rPr>
          <w:i w:val="1"/>
          <w:rtl w:val="0"/>
        </w:rPr>
        <w:t xml:space="preserve">Test primer hard2.in (20 tačaka)</w:t>
      </w:r>
    </w:p>
    <w:p w:rsidR="00000000" w:rsidDel="00000000" w:rsidP="00000000" w:rsidRDefault="00000000" w:rsidRPr="00000000" w14:paraId="0000002E">
      <w:pPr>
        <w:contextualSpacing w:val="0"/>
        <w:jc w:val="center"/>
        <w:rPr/>
      </w:pPr>
      <w:r w:rsidDel="00000000" w:rsidR="00000000" w:rsidRPr="00000000">
        <w:rPr/>
        <w:drawing>
          <wp:inline distB="114300" distT="114300" distL="114300" distR="114300">
            <wp:extent cx="3805238" cy="1994137"/>
            <wp:effectExtent b="0" l="0" r="0" t="0"/>
            <wp:docPr id="12"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3805238" cy="199413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contextualSpacing w:val="0"/>
        <w:jc w:val="center"/>
        <w:rPr>
          <w:i w:val="1"/>
        </w:rPr>
      </w:pPr>
      <w:r w:rsidDel="00000000" w:rsidR="00000000" w:rsidRPr="00000000">
        <w:rPr>
          <w:i w:val="1"/>
          <w:rtl w:val="0"/>
        </w:rPr>
        <w:t xml:space="preserve">Test primer hard3.in (25 tačaka)</w:t>
      </w:r>
    </w:p>
    <w:p w:rsidR="00000000" w:rsidDel="00000000" w:rsidP="00000000" w:rsidRDefault="00000000" w:rsidRPr="00000000" w14:paraId="00000030">
      <w:pPr>
        <w:contextualSpacing w:val="0"/>
        <w:jc w:val="center"/>
        <w:rPr>
          <w:i w:val="1"/>
        </w:rPr>
      </w:pPr>
      <w:r w:rsidDel="00000000" w:rsidR="00000000" w:rsidRPr="00000000">
        <w:rPr>
          <w:i w:val="1"/>
        </w:rPr>
        <w:drawing>
          <wp:inline distB="114300" distT="114300" distL="114300" distR="114300">
            <wp:extent cx="3916217" cy="2062163"/>
            <wp:effectExtent b="0" l="0" r="0" t="0"/>
            <wp:docPr id="10"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3916217"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contextualSpacing w:val="0"/>
        <w:jc w:val="center"/>
        <w:rPr>
          <w:i w:val="1"/>
        </w:rPr>
      </w:pPr>
      <w:r w:rsidDel="00000000" w:rsidR="00000000" w:rsidRPr="00000000">
        <w:rPr>
          <w:i w:val="1"/>
          <w:rtl w:val="0"/>
        </w:rPr>
        <w:t xml:space="preserve">Test primer hard4.in (70 tačaka)</w:t>
      </w:r>
      <w:r w:rsidDel="00000000" w:rsidR="00000000" w:rsidRPr="00000000">
        <w:rPr>
          <w:rtl w:val="0"/>
        </w:rPr>
      </w:r>
    </w:p>
    <w:sectPr>
      <w:headerReference r:id="rId19" w:type="default"/>
      <w:headerReference r:id="rId20" w:type="first"/>
      <w:footerReference r:id="rId21" w:type="default"/>
      <w:footerReference r:id="rId22"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mbria"/>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spacing w:before="0" w:line="240" w:lineRule="auto"/>
      <w:contextualSpacing w:val="0"/>
      <w:rPr/>
    </w:pPr>
    <w:r w:rsidDel="00000000" w:rsidR="00000000" w:rsidRPr="00000000">
      <w:rPr/>
      <w:drawing>
        <wp:inline distB="114300" distT="114300" distL="114300" distR="114300">
          <wp:extent cx="5943600" cy="25400"/>
          <wp:effectExtent b="0" l="0" r="0" t="0"/>
          <wp:docPr descr="horizontal line" id="9" name="image23.png"/>
          <a:graphic>
            <a:graphicData uri="http://schemas.openxmlformats.org/drawingml/2006/picture">
              <pic:pic>
                <pic:nvPicPr>
                  <pic:cNvPr descr="horizontal line" id="0" name="image2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before="0" w:line="240" w:lineRule="auto"/>
      <w:ind w:firstLine="75"/>
      <w:contextualSpacing w:val="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spacing w:before="0" w:lineRule="auto"/>
      <w:contextualSpacing w:val="0"/>
      <w:rPr/>
    </w:pPr>
    <w:r w:rsidDel="00000000" w:rsidR="00000000" w:rsidRPr="00000000">
      <w:rPr/>
      <w:drawing>
        <wp:inline distB="114300" distT="114300" distL="114300" distR="114300">
          <wp:extent cx="5943600" cy="25400"/>
          <wp:effectExtent b="0" l="0" r="0" t="0"/>
          <wp:docPr descr="horizontal line" id="8" name="image22.png"/>
          <a:graphic>
            <a:graphicData uri="http://schemas.openxmlformats.org/drawingml/2006/picture">
              <pic:pic>
                <pic:nvPicPr>
                  <pic:cNvPr descr="horizontal line" id="0" name="image2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Subtitle"/>
      <w:contextualSpacing w:val="0"/>
      <w:rPr/>
    </w:pPr>
    <w:bookmarkStart w:colFirst="0" w:colLast="0" w:name="_35nkun2" w:id="20"/>
    <w:bookmarkEnd w:id="20"/>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pStyle w:val="Subtitle"/>
      <w:spacing w:before="600" w:lineRule="auto"/>
      <w:contextualSpacing w:val="0"/>
      <w:rPr/>
    </w:pPr>
    <w:bookmarkStart w:colFirst="0" w:colLast="0" w:name="_lnxbz9" w:id="19"/>
    <w:bookmarkEnd w:id="19"/>
    <w:r w:rsidDel="00000000" w:rsidR="00000000" w:rsidRPr="00000000">
      <w:rPr>
        <w:rtl w:val="0"/>
      </w:rPr>
    </w:r>
  </w:p>
  <w:p w:rsidR="00000000" w:rsidDel="00000000" w:rsidP="00000000" w:rsidRDefault="00000000" w:rsidRPr="00000000" w14:paraId="00000033">
    <w:pPr>
      <w:spacing w:before="0" w:line="240" w:lineRule="auto"/>
      <w:contextualSpacing w:val="0"/>
      <w:rPr/>
    </w:pPr>
    <w:r w:rsidDel="00000000" w:rsidR="00000000" w:rsidRPr="00000000">
      <w:rPr/>
      <w:drawing>
        <wp:inline distB="114300" distT="114300" distL="114300" distR="114300">
          <wp:extent cx="5943600" cy="25400"/>
          <wp:effectExtent b="0" l="0" r="0" t="0"/>
          <wp:docPr descr="horizontal line" id="7" name="image21.png"/>
          <a:graphic>
            <a:graphicData uri="http://schemas.openxmlformats.org/drawingml/2006/picture">
              <pic:pic>
                <pic:nvPicPr>
                  <pic:cNvPr descr="horizontal line" id="0" name="image2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spacing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7.png"/><Relationship Id="rId22" Type="http://schemas.openxmlformats.org/officeDocument/2006/relationships/footer" Target="footer2.xml"/><Relationship Id="rId10" Type="http://schemas.openxmlformats.org/officeDocument/2006/relationships/image" Target="media/image29.png"/><Relationship Id="rId21" Type="http://schemas.openxmlformats.org/officeDocument/2006/relationships/footer" Target="footer1.xml"/><Relationship Id="rId13" Type="http://schemas.openxmlformats.org/officeDocument/2006/relationships/image" Target="media/image1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15" Type="http://schemas.openxmlformats.org/officeDocument/2006/relationships/image" Target="media/image16.png"/><Relationship Id="rId14" Type="http://schemas.openxmlformats.org/officeDocument/2006/relationships/image" Target="media/image27.png"/><Relationship Id="rId17" Type="http://schemas.openxmlformats.org/officeDocument/2006/relationships/image" Target="media/image26.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20.png"/><Relationship Id="rId18" Type="http://schemas.openxmlformats.org/officeDocument/2006/relationships/image" Target="media/image24.png"/><Relationship Id="rId7" Type="http://schemas.openxmlformats.org/officeDocument/2006/relationships/image" Target="media/image25.png"/><Relationship Id="rId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