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au8nsmz6m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Налогообложение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firstLine="720"/>
        <w:rPr>
          <w:rFonts w:ascii="Times" w:cs="Times" w:eastAsia="Times" w:hAnsi="Times"/>
          <w:b w:val="1"/>
          <w:bCs w:val="1"/>
          <w:i w:val="1"/>
          <w:iCs w:val="1"/>
          <w:color w:val="000000"/>
        </w:rPr>
      </w:pPr>
      <w:bookmarkStart w:colFirst="0" w:colLast="0" w:name="_5mm4lg14qnve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3.2. Выбор системы налогообложения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ведения деятельности выбрана организационно-правовая форма ООО с применением Упрощенной системы налогообложения (УСН) с объектом налогообложения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«Доходы» по ставке 6%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Обоснование выбора: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Мы сознательно отказались от схем с массовым оформлением ключевых исполнителей как самозанятых, несмотря на кажущуюся налоговую выгоду. Деятельность технических интервьюеров неразрывно связана с нашим производственным циклом (регулярные интервью, работа по внутренним регламентам), что при проверке ФНС легко переквалифицируют в трудовые отношения с доначислением 30% страховых взносов и штрафами.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Поэтому в финансовую модель заложен консервативный сценарий: технические интервьюеры оформлены по трудовому договору со всеми отчислениями. Это увеличивает наши постоянные расходы на 30%, но полностью исключает налоговые риски и закладывает «подушку безопасности». При этом для разовых, нерегулярных задач (например, перевод документации) мы используем договоры ГПХ с самозанятыми.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Что касается рекрутеров, мы будем использовать договоры ГПХ. Это законно и оправданно, так как сдельная оплата (процент от закрытой вакансии) соответствует гражданско-правовой природе отношений и не противоречит закону о занятости.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таких условиях применение схемы УСН «Доходы минус расходы» (15%) экономически нецелесообразно, так как документально подтвержденные расходы не превышают 60% от выручки. Ставка 6% со всего валового дохода позволяет минимизировать налоговую нагрузку, упростить бухгалтерский учет (используется онлайн-бухгалтерия без найма штатного бухгалтера) и снизить риски налоговых проверок. Дополнительным преимуществом станет получение IT-аккредитации (заложена в бюджет), что в перспективе даст льготы по страховым взносам.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67oqa22hbct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Фрагмент отчета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firstLine="720"/>
        <w:rPr>
          <w:rFonts w:ascii="Times" w:cs="Times" w:eastAsia="Times" w:hAnsi="Times"/>
          <w:b w:val="1"/>
          <w:bCs w:val="1"/>
          <w:color w:val="000000"/>
        </w:rPr>
      </w:pPr>
      <w:bookmarkStart w:colFirst="0" w:colLast="0" w:name="_hpkkg0nrk2v6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3.1. Структура стартовых инвестиций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запуска кадрового IT-агентства «Track» требуются начальные инвестиции в размере 800 000 ₽. Данная сумма сформирована на основе анализа реальных рыночных цен на лицензии программного обеспечения, доступы к базам данных и юридическое сопровождение. Стратегия финансирования предполагает использование собственных средств основателей без привлечения заёмного капитала.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Распределение бюджета на первые 3 месяца (до выхода на окупаемость):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Инфраструктура и ПО (257 500 ₽): Включает оплату доступов к hh.ru и Хабр Карьера (220 000 ₽), лицензии ATS Хантфлоу на команду из 6 человек (37 500 ₽). Это критические инструменты производства, без которых невозможен поиск узкопрофильных специалистов.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Маркетинг и продвижение (250 000 ₽): Распределены согласно GTM-стратегии. Включают контент-маркетинг (110 000 ₽), инструменты холодного аутрича (40 000 ₽), производство промо-материалов (40 000 ₽) и спонсорское участие в IT-митапах (60 000 ₽).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Организационные и юридические расходы (117 900 ₽): Регистрация ООО (47 900 ₽), разработка кастомных договоров, SLA и NDA (40 000 ₽), а также аккредитация ИТ-компании по ФЗ-116 (30 000 ₽).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Техническое оснащение (60 000 ₽): Разработка концепта сайта, оплата хостинга и домена.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Резервный фонд (105 200 ₽): Страховка от колебаний цен на сервисы и форс-мажорных обстоятельств.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течение первых трех месяцев команда не получает фиксированную заработную плату, работая за долю в будущей прибыли, что существенно снижает кассовые разрывы на старте.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firstLine="720"/>
        <w:rPr>
          <w:rFonts w:ascii="Times" w:cs="Times" w:eastAsia="Times" w:hAnsi="Times"/>
          <w:b w:val="1"/>
          <w:bCs w:val="1"/>
          <w:color w:val="000000"/>
        </w:rPr>
      </w:pPr>
      <w:bookmarkStart w:colFirst="0" w:colLast="0" w:name="_pe20rkdqvoa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firstLine="720"/>
        <w:rPr>
          <w:rFonts w:ascii="Times" w:cs="Times" w:eastAsia="Times" w:hAnsi="Times"/>
          <w:b w:val="1"/>
          <w:bCs w:val="1"/>
          <w:color w:val="000000"/>
        </w:rPr>
      </w:pPr>
      <w:bookmarkStart w:colFirst="0" w:colLast="0" w:name="_deexqnpci4p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firstLine="720"/>
        <w:rPr>
          <w:rFonts w:ascii="Times" w:cs="Times" w:eastAsia="Times" w:hAnsi="Times"/>
          <w:b w:val="1"/>
          <w:bCs w:val="1"/>
          <w:i w:val="1"/>
          <w:iCs w:val="1"/>
          <w:color w:val="000000"/>
        </w:rPr>
      </w:pPr>
      <w:bookmarkStart w:colFirst="0" w:colLast="0" w:name="_qrb3tvshuai9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3.2. Выбор системы налогообложения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ведения деятельности выбрана организационно-правовая форма ООО с применением Упрощенной системы налогообложения (УСН) с объектом налогообложения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«Доходы» по ставке 6%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Обоснование выбора: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Мы сознательно отказались от схем с массовым оформлением ключевых исполнителей как самозанятых, несмотря на кажущуюся налоговую выгоду. Деятельность технических интервьюеров неразрывно связана с нашим производственным циклом (регулярные интервью, работа по внутренним регламентам), что при проверке ФНС легко переквалифицируют в трудовые отношения с доначислением 30% страховых взносов и штрафами.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Поэтому в финансовую модель заложен консервативный сценарий: технические интервьюеры оформлены по трудовому договору со всеми отчислениями. Это увеличивает наши постоянные расходы на 30%, но полностью исключает налоговые риски и закладывает «подушку безопасности». При этом для разовых, нерегулярных задач (например, перевод документации) мы используем договоры ГПХ с самозанятыми.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Что касается рекрутеров, мы будем использовать договоры ГПХ. Это законно и оправданно, так как сдельная оплата (процент от закрытой вакансии) соответствует гражданско-правовой природе отношений и не противоречит закону о занятости.</w:t>
      </w:r>
    </w:p>
    <w:p w:rsidR="00000000" w:rsidDel="00000000" w:rsidP="00000000" w:rsidRDefault="00000000" w:rsidRPr="00000000" w14:paraId="0000001D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таких условиях применение схемы УСН «Доходы минус расходы» (15%) экономически нецелесообразно, так как документально подтвержденные расходы не превышают 60% от выручки. Ставка 6% со всего валового дохода позволяет минимизировать налоговую нагрузку, упростить бухгалтерский учет (используется онлайн-бухгалтерия без найма штатного бухгалтера) и снизить риски налоговых проверок. Дополнительным преимуществом станет получение IT-аккредитации (заложена в бюджет), что в перспективе даст льготы по страховым взносам.</w:t>
      </w:r>
    </w:p>
    <w:p w:rsidR="00000000" w:rsidDel="00000000" w:rsidP="00000000" w:rsidRDefault="00000000" w:rsidRPr="00000000" w14:paraId="0000001E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firstLine="720"/>
        <w:jc w:val="both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q3bzeaee66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3.3. Юнит-экономика и ценообразование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Бизнес-модель агентства строится на взимании комиссии в размере 20% от годового дохода (Gross) трудоустроенного кандидата. Оплата разбивается на две части: 30% депозита (невозвратного, покрывающего базовые операционные расходы на старт поиска) и 70% по факту выхода кандидата на работу.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Основной упор делается на точечный подбор senior-специалистов. Рассмотрим структуру юнит-экономики (расходов на одну сделку) на примере базового направления — Информационная безопасность (senior):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Средняя ЗП кандидата: 350 000 ₽ / мес. (4 200 000 ₽ в год).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Выручка агентства (20% от годовой ЗП): 840 000 ₽.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Прямые переменные расходы на 1 сделку (COGS):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Работа рекрутера (фикс. оплата за закрытие, ~80 часов): 120 000 ₽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Услуги технического интервьюера: 32 000 ₽</w:t>
      </w:r>
    </w:p>
    <w:p w:rsidR="00000000" w:rsidDel="00000000" w:rsidP="00000000" w:rsidRDefault="00000000" w:rsidRPr="00000000" w14:paraId="00000027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Премия рекрутеру (15% от гонорара агентства): 126 000 ₽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Доля затрат на IT-инструменты и подписки на 1 сделку: 20 000 ₽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Итого расходов на сделку: 298 000 ₽</w:t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Чистая прибыль с одной сделки: 840 000 ₽ − 298 000 ₽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542 000 ₽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 Маржинальность данного направления составляет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64,5%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Аналогичный расчёт был проведён для всех ключевых направлений агентства. Разница в маржинальности обусловлена колебаниями средних заработных плат на рынке и стоимостью привлечения профильных технических экспертов для оценки кандидатов (например, для оценки ML/AI инженеров стоимость технического собеседования заложена выше базовой).</w:t>
      </w:r>
    </w:p>
    <w:p w:rsidR="00000000" w:rsidDel="00000000" w:rsidP="00000000" w:rsidRDefault="00000000" w:rsidRPr="00000000" w14:paraId="0000002C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Таблица N — Сводная таблица юнит-экономики по целевым нишам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Направление (Senior)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Средняя ЗП (мес.)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Гонорар агентства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Итого расходов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Чистая прибыль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Маржинальность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ML/AI инженеры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400 000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960 000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324 000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636 000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66,25%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DevOps / SRE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370 000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888 000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305 200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582 800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65,63%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Информ. безопасность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350 000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840 000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298 000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542 000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64,52%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Базы данных (DBA)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320 000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768 000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287 200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480 800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62,6%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1С-разработка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300 000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720 000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280 000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440 000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61,1%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firstLine="720"/>
        <w:jc w:val="both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90bby6ni5cib" w:id="8"/>
      <w:bookmarkEnd w:id="8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3.4. Расчет точки безубыточности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оценки финансовой устойчивости проекта была рассчитана точка безубыточности. Данный показатель отражает минимальное количество закрытых вакансий в месяц, необходимое для покрытия постоянных операционных расходов агентства без получения убытка, но и без генерации чистой прибыли.</w:t>
      </w:r>
    </w:p>
    <w:p w:rsidR="00000000" w:rsidDel="00000000" w:rsidP="00000000" w:rsidRDefault="00000000" w:rsidRPr="00000000" w14:paraId="00000055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Финансовая модель предполагает изменение структуры постоянных расходов: в первые 3 месяца команда основателей работает без фиксированной оплаты (за долю в будущей прибыли). Начиная с 4-го месяца, в структуру постоянных расходов (Fixed Costs) закладывается базовый ФОТ команды (630 000 ₽).</w:t>
      </w:r>
    </w:p>
    <w:p w:rsidR="00000000" w:rsidDel="00000000" w:rsidP="00000000" w:rsidRDefault="00000000" w:rsidRPr="00000000" w14:paraId="00000056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Итоговые ежемесячные постоянные расходы (с 4-го месяца) составляют 813 000 ₽ и включают в себя:</w:t>
      </w:r>
    </w:p>
    <w:p w:rsidR="00000000" w:rsidDel="00000000" w:rsidP="00000000" w:rsidRDefault="00000000" w:rsidRPr="00000000" w14:paraId="00000057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ФОТ команды из 6 человек: 630 000 ₽</w:t>
      </w:r>
    </w:p>
    <w:p w:rsidR="00000000" w:rsidDel="00000000" w:rsidP="00000000" w:rsidRDefault="00000000" w:rsidRPr="00000000" w14:paraId="00000058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Бюджет на лидогенерацию и маркетинг: 85 000 ₽</w:t>
      </w:r>
    </w:p>
    <w:p w:rsidR="00000000" w:rsidDel="00000000" w:rsidP="00000000" w:rsidRDefault="00000000" w:rsidRPr="00000000" w14:paraId="00000059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Подписки на базы резюме (hh.ru, Хабр Карьера и др.): 60 000 ₽</w:t>
      </w:r>
    </w:p>
    <w:p w:rsidR="00000000" w:rsidDel="00000000" w:rsidP="00000000" w:rsidRDefault="00000000" w:rsidRPr="00000000" w14:paraId="0000005A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Административные расходы (Связь, РКО) и лицензии ATS Хантфлоу: 38 000 ₽</w:t>
      </w:r>
    </w:p>
    <w:p w:rsidR="00000000" w:rsidDel="00000000" w:rsidP="00000000" w:rsidRDefault="00000000" w:rsidRPr="00000000" w14:paraId="0000005B">
      <w:pPr>
        <w:spacing w:after="240" w:before="240" w:lineRule="auto"/>
        <w:ind w:firstLine="720"/>
        <w:jc w:val="both"/>
        <w:rPr>
          <w:rFonts w:ascii="Times" w:cs="Times" w:eastAsia="Times" w:hAnsi="Times"/>
          <w:i w:val="1"/>
          <w:i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расчета используется формула: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BEP = FC / CM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i w:val="1"/>
          <w:iCs w:val="1"/>
          <w:sz w:val="28"/>
          <w:szCs w:val="28"/>
          <w:rtl w:val="0"/>
        </w:rPr>
        <w:t xml:space="preserve">(где FC — постоянные ежемесячные расходы, а CM — средняя маржинальная прибыль с одной сделки).</w:t>
      </w:r>
    </w:p>
    <w:p w:rsidR="00000000" w:rsidDel="00000000" w:rsidP="00000000" w:rsidRDefault="00000000" w:rsidRPr="00000000" w14:paraId="0000005C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Средняя маржинальная прибыль по пяти целевым нишам агентства составляет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536 320 ₽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 Таким образом, точка безубыточности: 813 000 ₽ / 536 320 ₽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1,52 сделки в месяц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 Это означает, что бизнес-модель обладает высоким запасом прочности. Для покрытия всех операционных затрат агентству достаточно закрывать 1–2 вакансии в месяц.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firstLine="720"/>
        <w:jc w:val="both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4xvit4y0tpuf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3.5. Финансовая модель и сценарный 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Проект рассчитан на горизонт планирования в 12 месяцев. В связи с рисками B2B-рынка (длинный цикл сделки, зависимость от внешних экономических факторов), финансовая модель была протестирована в трех сценариях развития. Подробная помесячная разбивка движения денежных средств (Cash Flow) представлена в Приложении 1 к данному отчету.</w:t>
      </w:r>
    </w:p>
    <w:p w:rsidR="00000000" w:rsidDel="00000000" w:rsidP="00000000" w:rsidRDefault="00000000" w:rsidRPr="00000000" w14:paraId="0000005F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1)</w:t>
        <w:tab/>
        <w:t xml:space="preserve">Базовый (целевой) сценарий: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Отражает плановое развитие согласно GTM-стратегии.</w:t>
      </w:r>
    </w:p>
    <w:p w:rsidR="00000000" w:rsidDel="00000000" w:rsidP="00000000" w:rsidRDefault="00000000" w:rsidRPr="00000000" w14:paraId="00000060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Итог года: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38 закрытых вакансий.</w:t>
      </w:r>
    </w:p>
    <w:p w:rsidR="00000000" w:rsidDel="00000000" w:rsidP="00000000" w:rsidRDefault="00000000" w:rsidRPr="00000000" w14:paraId="00000061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Совокупная выручка: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24 750 000 ₽.</w:t>
      </w:r>
    </w:p>
    <w:p w:rsidR="00000000" w:rsidDel="00000000" w:rsidP="00000000" w:rsidRDefault="00000000" w:rsidRPr="00000000" w14:paraId="00000062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Чистая прибыль и накопленный кэш: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12 850 000 ₽.</w:t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Выход на окупаемость первоначальных инвестиций происходит на 3-й месяц работы, после чего проект стабильно генерирует прибыль.</w:t>
      </w:r>
    </w:p>
    <w:p w:rsidR="00000000" w:rsidDel="00000000" w:rsidP="00000000" w:rsidRDefault="00000000" w:rsidRPr="00000000" w14:paraId="00000064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2)</w:t>
        <w:tab/>
        <w:t xml:space="preserve">Пессимистичный сценарий: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Рассчитан на случай низкой конверсии воронки продаж и удлинения цикла закрытия вакансий (объем продаж ниже плана на 70–80%).</w:t>
      </w:r>
    </w:p>
    <w:p w:rsidR="00000000" w:rsidDel="00000000" w:rsidP="00000000" w:rsidRDefault="00000000" w:rsidRPr="00000000" w14:paraId="00000065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Итог года: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Всего 18 закрытых вакансий.</w:t>
      </w:r>
    </w:p>
    <w:p w:rsidR="00000000" w:rsidDel="00000000" w:rsidP="00000000" w:rsidRDefault="00000000" w:rsidRPr="00000000" w14:paraId="00000066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Совокупная выручка: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11 050 000 ₽.</w:t>
      </w:r>
    </w:p>
    <w:p w:rsidR="00000000" w:rsidDel="00000000" w:rsidP="00000000" w:rsidRDefault="00000000" w:rsidRPr="00000000" w14:paraId="00000067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Чистая прибыль и накопленный кэш: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3 000 000 ₽.</w:t>
      </w:r>
    </w:p>
    <w:p w:rsidR="00000000" w:rsidDel="00000000" w:rsidP="00000000" w:rsidRDefault="00000000" w:rsidRPr="00000000" w14:paraId="00000068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Даже при критическом невыполнении плана проект не становится убыточным по итогам года за счет высокой маржинальности сделок (60%+) и гибкой системы переменных расходов, привязанных к результату.</w:t>
      </w:r>
    </w:p>
    <w:p w:rsidR="00000000" w:rsidDel="00000000" w:rsidP="00000000" w:rsidRDefault="00000000" w:rsidRPr="00000000" w14:paraId="00000069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3)</w:t>
        <w:tab/>
        <w:t xml:space="preserve">Оптимистичный сценарий: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Предполагает высокую эффективность контент-маркетинга и раннее масштабирование сарафанного радио среди HRD и CTO.</w:t>
      </w:r>
    </w:p>
    <w:p w:rsidR="00000000" w:rsidDel="00000000" w:rsidP="00000000" w:rsidRDefault="00000000" w:rsidRPr="00000000" w14:paraId="0000006A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Итог года: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59 закрытых вакансий.</w:t>
      </w:r>
    </w:p>
    <w:p w:rsidR="00000000" w:rsidDel="00000000" w:rsidP="00000000" w:rsidRDefault="00000000" w:rsidRPr="00000000" w14:paraId="0000006B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Совокупная выручка: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38 700 000 ₽.</w:t>
      </w:r>
    </w:p>
    <w:p w:rsidR="00000000" w:rsidDel="00000000" w:rsidP="00000000" w:rsidRDefault="00000000" w:rsidRPr="00000000" w14:paraId="0000006C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Чистая прибыль и накопленный кэш: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18 000 000 ₽.</w:t>
      </w:r>
    </w:p>
    <w:p w:rsidR="00000000" w:rsidDel="00000000" w:rsidP="00000000" w:rsidRDefault="00000000" w:rsidRPr="00000000" w14:paraId="0000006D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 реализации данного сценария накопленный капитал позволит в конце первого года расширить штат рекрутеров и открыть физический офис.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Рисунок N - График накопленной прибыли по месяцам</w:t>
      </w:r>
    </w:p>
    <w:p w:rsidR="00000000" w:rsidDel="00000000" w:rsidP="00000000" w:rsidRDefault="00000000" w:rsidRPr="00000000" w14:paraId="00000071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02e3tq90sfk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Для Дизайнера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Текст для Слайда 9 «Что мы зарабатываем с одной сделки»</w:t>
      </w:r>
    </w:p>
    <w:p w:rsidR="00000000" w:rsidDel="00000000" w:rsidP="00000000" w:rsidRDefault="00000000" w:rsidRPr="00000000" w14:paraId="00000078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Заголовок слайда (H1, 64px):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Зарабатываем на марже, а не на потоке</w:t>
      </w:r>
    </w:p>
    <w:p w:rsidR="00000000" w:rsidDel="00000000" w:rsidP="00000000" w:rsidRDefault="00000000" w:rsidRPr="00000000" w14:paraId="00000079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Главная цифра (Display, 96px, Оранжевый, JetBrains Mono):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542 000 ₽</w:t>
      </w:r>
    </w:p>
    <w:p w:rsidR="00000000" w:rsidDel="00000000" w:rsidP="00000000" w:rsidRDefault="00000000" w:rsidRPr="00000000" w14:paraId="0000007A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Подпись под цифрой (16px, Серый):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Чистая прибыль с одной сделки (на примере ИБ-senior)</w:t>
      </w:r>
    </w:p>
    <w:p w:rsidR="00000000" w:rsidDel="00000000" w:rsidP="00000000" w:rsidRDefault="00000000" w:rsidRPr="00000000" w14:paraId="0000007B">
      <w:pPr>
        <w:spacing w:after="240" w:before="240" w:lineRule="auto"/>
        <w:ind w:firstLine="72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Блок деталей (H3/Body, не больше 25 слов):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216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Маржинальность сделки — 64,5%.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216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себестоимость уже заложены гонорар рекрутера, оплата технического интервьюера и доля затрат на IT-инфраструктуру.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Текст для Слайда 10 «План на год: окупаемся за 3 месяца»</w:t>
      </w:r>
    </w:p>
    <w:p w:rsidR="00000000" w:rsidDel="00000000" w:rsidP="00000000" w:rsidRDefault="00000000" w:rsidRPr="00000000" w14:paraId="0000007F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Заголовок слайда (H1, 64px):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Операционная окупаемость на 3-й месяц</w:t>
      </w:r>
    </w:p>
    <w:p w:rsidR="00000000" w:rsidDel="00000000" w:rsidP="00000000" w:rsidRDefault="00000000" w:rsidRPr="00000000" w14:paraId="00000080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Главная цифра (Display, 96px, Оранжевый, JetBrains Mono):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1,5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Подпись под цифрой (16px, Серый):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Сделки в месяц — наша точка безубыточности (BEP)</w:t>
      </w:r>
    </w:p>
    <w:p w:rsidR="00000000" w:rsidDel="00000000" w:rsidP="00000000" w:rsidRDefault="00000000" w:rsidRPr="00000000" w14:paraId="00000082">
      <w:pPr>
        <w:spacing w:after="240" w:before="240" w:lineRule="auto"/>
        <w:ind w:firstLine="72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Блок деталей (H3/Body, + График от дизайнера):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216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Стартовые вложения: 800 000 ₽.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 первый год закрываем 38 вакансий.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216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Накопленная чистая прибыль к 12-му месяцу составит 12,85 млн ₽. </w:t>
      </w:r>
      <w:r w:rsidDel="00000000" w:rsidR="00000000" w:rsidRPr="00000000">
        <w:rPr>
          <w:rFonts w:ascii="Times" w:cs="Times" w:eastAsia="Times" w:hAnsi="Times"/>
          <w:i w:val="1"/>
          <w:iCs w:val="1"/>
          <w:sz w:val="28"/>
          <w:szCs w:val="28"/>
          <w:rtl w:val="0"/>
        </w:rPr>
        <w:t xml:space="preserve">(Дизайнер здесь ставит линейный график окупаемости из твоего базового сценария).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Текст для Слайда 15 «Что может пойти не так»</w:t>
      </w:r>
    </w:p>
    <w:p w:rsidR="00000000" w:rsidDel="00000000" w:rsidP="00000000" w:rsidRDefault="00000000" w:rsidRPr="00000000" w14:paraId="00000089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Заголовок слайда (H1, 64px):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Устойчивы даже при падении продаж в два раза</w:t>
      </w:r>
    </w:p>
    <w:p w:rsidR="00000000" w:rsidDel="00000000" w:rsidP="00000000" w:rsidRDefault="00000000" w:rsidRPr="00000000" w14:paraId="0000008A">
      <w:pPr>
        <w:spacing w:after="240" w:before="240" w:lineRule="auto"/>
        <w:ind w:firstLine="72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Главная цифра (Display, 96px, Оранжевый, JetBrains Mono):</w:t>
      </w:r>
    </w:p>
    <w:p w:rsidR="00000000" w:rsidDel="00000000" w:rsidP="00000000" w:rsidRDefault="00000000" w:rsidRPr="00000000" w14:paraId="0000008B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3 000 000 ₽</w:t>
      </w:r>
    </w:p>
    <w:p w:rsidR="00000000" w:rsidDel="00000000" w:rsidP="00000000" w:rsidRDefault="00000000" w:rsidRPr="00000000" w14:paraId="0000008C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Подпись под цифрой (16px, Серый):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Накопленный кэш в пессимистичном сценарии (18 сделок за год)</w:t>
      </w:r>
    </w:p>
    <w:p w:rsidR="00000000" w:rsidDel="00000000" w:rsidP="00000000" w:rsidRDefault="00000000" w:rsidRPr="00000000" w14:paraId="0000008D">
      <w:pPr>
        <w:spacing w:after="240" w:before="240" w:lineRule="auto"/>
        <w:ind w:firstLine="72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Правая колонка / Блок деталей (H3/Body, 3 риска):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216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Кассовый разрыв: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ФОТ рекрутеров и тех. экспертов привязан к сделкам. Нет закрытий — нет расходов.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Клиент отменяет поиск: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Депозит 30% до старта работ невозвратный и покрывает базовые косты.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216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Кандидат не прошёл ИС: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Заложили в финмодель SLA с бесплатной заменой в течение 3 месяцев.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