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1028"/>
          <w:sz w:val="52"/>
        </w:rPr>
        <w:t>Second Brain</w:t>
      </w:r>
    </w:p>
    <w:p>
      <w:pPr>
        <w:jc w:val="center"/>
      </w:pPr>
      <w:r>
        <w:rPr>
          <w:color w:val="7E89AC"/>
          <w:sz w:val="28"/>
        </w:rPr>
        <w:t>Knowledge Transfer Guide</w:t>
      </w:r>
    </w:p>
    <w:p>
      <w:pPr>
        <w:jc w:val="center"/>
      </w:pPr>
      <w:r>
        <w:rPr>
          <w:i/>
          <w:color w:val="646464"/>
          <w:sz w:val="20"/>
        </w:rPr>
        <w:t>Capture expert knowledge. Generate training automatically.</w:t>
      </w:r>
    </w:p>
    <w:p>
      <w:r>
        <w:rPr>
          <w:b/>
          <w:color w:val="081028"/>
          <w:sz w:val="24"/>
        </w:rPr>
        <w:t>What is Second Brain?</w:t>
      </w:r>
    </w:p>
    <w:p>
      <w:r>
        <w:rPr>
          <w:sz w:val="20"/>
        </w:rPr>
        <w:t>Second Brain is a knowledge transfer tool that captures expertise from your organization's documents, identifies knowledge gaps, collects expert answers, and automatically generates training videos. It transforms scattered information into a searchable, shareable knowledge base.</w:t>
      </w:r>
    </w:p>
    <w:p>
      <w:r>
        <w:rPr>
          <w:b/>
          <w:color w:val="081028"/>
          <w:sz w:val="22"/>
        </w:rPr>
        <w:t>Step 1: Connect Your Sources</w:t>
      </w:r>
    </w:p>
    <w:tbl>
      <w:tblPr>
        <w:tblW w:type="auto" w:w="0"/>
        <w:jc w:val="center"/>
        <w:tblLook w:firstColumn="1" w:firstRow="1" w:lastColumn="0" w:lastRow="0" w:noHBand="0" w:noVBand="1" w:val="04A0"/>
      </w:tblPr>
      <w:tblGrid>
        <w:gridCol w:w="5112"/>
        <w:gridCol w:w="5112"/>
      </w:tblGrid>
      <w:tr>
        <w:tc>
          <w:tcPr>
            <w:tcW w:type="dxa" w:w="2160"/>
            <w:shd w:fill="FFE2BF"/>
          </w:tcPr>
          <w:p>
            <w:r>
              <w:rPr>
                <w:b/>
                <w:sz w:val="18"/>
              </w:rPr>
              <w:t>Category</w:t>
            </w:r>
          </w:p>
        </w:tc>
        <w:tc>
          <w:tcPr>
            <w:tcW w:type="dxa" w:w="6480"/>
            <w:shd w:fill="FFE2BF"/>
          </w:tcPr>
          <w:p>
            <w:r>
              <w:rPr>
                <w:b/>
                <w:sz w:val="18"/>
              </w:rPr>
              <w:t>Integrations</w:t>
            </w:r>
          </w:p>
        </w:tc>
      </w:tr>
      <w:tr>
        <w:tc>
          <w:tcPr>
            <w:tcW w:type="dxa" w:w="2160"/>
          </w:tcPr>
          <w:p>
            <w:r>
              <w:rPr>
                <w:sz w:val="18"/>
              </w:rPr>
              <w:t>Communication</w:t>
            </w:r>
          </w:p>
        </w:tc>
        <w:tc>
          <w:tcPr>
            <w:tcW w:type="dxa" w:w="6480"/>
          </w:tcPr>
          <w:p>
            <w:r>
              <w:rPr>
                <w:sz w:val="18"/>
              </w:rPr>
              <w:t>Slack, Gmail</w:t>
            </w:r>
          </w:p>
        </w:tc>
      </w:tr>
      <w:tr>
        <w:tc>
          <w:tcPr>
            <w:tcW w:type="dxa" w:w="2160"/>
          </w:tcPr>
          <w:p>
            <w:r>
              <w:rPr>
                <w:sz w:val="18"/>
              </w:rPr>
              <w:t>Cloud Storage</w:t>
            </w:r>
          </w:p>
        </w:tc>
        <w:tc>
          <w:tcPr>
            <w:tcW w:type="dxa" w:w="6480"/>
          </w:tcPr>
          <w:p>
            <w:r>
              <w:rPr>
                <w:sz w:val="18"/>
              </w:rPr>
              <w:t>Box, GitHub</w:t>
            </w:r>
          </w:p>
        </w:tc>
      </w:tr>
      <w:tr>
        <w:tc>
          <w:tcPr>
            <w:tcW w:type="dxa" w:w="2160"/>
          </w:tcPr>
          <w:p>
            <w:r>
              <w:rPr>
                <w:sz w:val="18"/>
              </w:rPr>
              <w:t>Office Tools</w:t>
            </w:r>
          </w:p>
        </w:tc>
        <w:tc>
          <w:tcPr>
            <w:tcW w:type="dxa" w:w="6480"/>
          </w:tcPr>
          <w:p>
            <w:r>
              <w:rPr>
                <w:sz w:val="18"/>
              </w:rPr>
              <w:t>Microsoft PowerPoint, Microsoft Excel</w:t>
            </w:r>
          </w:p>
        </w:tc>
      </w:tr>
      <w:tr>
        <w:tc>
          <w:tcPr>
            <w:tcW w:type="dxa" w:w="2160"/>
          </w:tcPr>
          <w:p>
            <w:r>
              <w:rPr>
                <w:sz w:val="18"/>
              </w:rPr>
              <w:t>Research</w:t>
            </w:r>
          </w:p>
        </w:tc>
        <w:tc>
          <w:tcPr>
            <w:tcW w:type="dxa" w:w="6480"/>
          </w:tcPr>
          <w:p>
            <w:r>
              <w:rPr>
                <w:sz w:val="18"/>
              </w:rPr>
              <w:t>PubMed, ResearchGate, Google Scholar</w:t>
            </w:r>
          </w:p>
        </w:tc>
      </w:tr>
      <w:tr>
        <w:tc>
          <w:tcPr>
            <w:tcW w:type="dxa" w:w="2160"/>
          </w:tcPr>
          <w:p>
            <w:r>
              <w:rPr>
                <w:sz w:val="18"/>
              </w:rPr>
              <w:t>Manual</w:t>
            </w:r>
          </w:p>
        </w:tc>
        <w:tc>
          <w:tcPr>
            <w:tcW w:type="dxa" w:w="6480"/>
          </w:tcPr>
          <w:p>
            <w:r>
              <w:rPr>
                <w:sz w:val="18"/>
              </w:rPr>
              <w:t>Drag &amp; drop file uploads</w:t>
            </w:r>
          </w:p>
        </w:tc>
      </w:tr>
    </w:tbl>
    <w:p/>
    <w:p>
      <w:r>
        <w:rPr>
          <w:b/>
          <w:color w:val="081028"/>
          <w:sz w:val="22"/>
        </w:rPr>
        <w:t>Step 2: Automatic Analysis</w:t>
      </w:r>
    </w:p>
    <w:p>
      <w:r>
        <w:rPr>
          <w:sz w:val="20"/>
        </w:rPr>
        <w:t>Once connected, documents sync automatically. The AI parses all content, extracts key information, and identifies knowledge gaps—missing rationale, undefined processes, unclear definitions, evidence gaps, and more. No manual work required.</w:t>
      </w:r>
    </w:p>
    <w:p>
      <w:r>
        <w:rPr>
          <w:b/>
          <w:color w:val="081028"/>
          <w:sz w:val="22"/>
        </w:rPr>
        <w:t>Step 3: Fill Knowledge Gaps</w:t>
      </w:r>
    </w:p>
    <w:p>
      <w:r>
        <w:rPr>
          <w:sz w:val="20"/>
        </w:rPr>
        <w:t>The system generates up to 30 prioritized questions based on detected gaps. Subject matter experts can answer via text or voice recording (automatically transcribed). Each answer is immediately embedded into the knowledge base and becomes searchable.</w:t>
      </w:r>
    </w:p>
    <w:p>
      <w:r>
        <w:rPr>
          <w:b/>
          <w:color w:val="081028"/>
          <w:sz w:val="22"/>
        </w:rPr>
        <w:t>Step 4: Generate Training Videos</w:t>
      </w:r>
    </w:p>
    <w:p>
      <w:r>
        <w:rPr>
          <w:sz w:val="20"/>
        </w:rPr>
        <w:t>Once knowledge gaps are filled, the system automatically creates training materials. The Gamma API generates professional presentations, and Azure Text-to-Speech adds voiceovers. The result: HD training videos (1920x1080) ready to download and share with your team.</w:t>
      </w:r>
    </w:p>
    <w:p>
      <w:r>
        <w:rPr>
          <w:b/>
          <w:color w:val="081028"/>
          <w:sz w:val="22"/>
        </w:rPr>
        <w:t>Step 5: Use &amp; Share Your Knowledge</w:t>
      </w:r>
    </w:p>
    <w:p>
      <w:r>
        <w:rPr>
          <w:sz w:val="20"/>
        </w:rPr>
        <w:t>Use the chat interface to ask questions and get AI-powered answers sourced from your documents and expert input. Share training videos across your organization. The knowledge base grows smarter with every answered gap.</w:t>
      </w:r>
    </w:p>
    <w:p>
      <w:r>
        <w:rPr>
          <w:b/>
          <w:color w:val="081028"/>
          <w:sz w:val="22"/>
        </w:rPr>
        <w:t>The Human Touch</w:t>
      </w:r>
    </w:p>
    <w:p>
      <w:r>
        <w:rPr>
          <w:sz w:val="20"/>
        </w:rPr>
        <w:t>Second Brain enhances—not replaces—human expertise. AI identifies gaps and generates questions, but the answers come from your subject matter experts. The system captures institutional knowledge that only humans possess: context, nuance, and real-world experience. Think of it as a tool that amplifies your experts, not one that replaces them.</w:t>
      </w:r>
    </w:p>
    <w:p>
      <w:r>
        <w:rPr>
          <w:b/>
          <w:color w:val="081028"/>
          <w:sz w:val="22"/>
        </w:rPr>
        <w:t>Security &amp; Privacy</w:t>
      </w:r>
    </w:p>
    <w:p>
      <w:r>
        <w:rPr>
          <w:sz w:val="20"/>
        </w:rPr>
        <w:t>Your data is protected with enterprise-grade security: multi-tenant isolation ensures each organization's data is completely separate; OAuth 2.0 authentication secures all integrations; JWT tokens protect every API request; and all data is encrypted in transit and at rest. Your knowledge stays yours.</w:t>
      </w:r>
    </w:p>
    <w:p>
      <w:pPr>
        <w:jc w:val="center"/>
      </w:pPr>
      <w:r>
        <w:rPr>
          <w:b/>
          <w:color w:val="081028"/>
          <w:sz w:val="20"/>
        </w:rPr>
        <w:t>Knowledge Transfer Flow</w:t>
      </w:r>
    </w:p>
    <w:p>
      <w:pPr>
        <w:jc w:val="center"/>
      </w:pPr>
      <w:r>
        <w:rPr>
          <w:b/>
          <w:color w:val="081028"/>
          <w:sz w:val="20"/>
        </w:rPr>
        <w:t>Connect Sources  →  Auto-Analyze  →  Answer Gaps  →  Generate Training  →  Share &amp; Use</w:t>
      </w:r>
    </w:p>
    <w:sectPr w:rsidR="00FC693F" w:rsidRPr="0006063C" w:rsidSect="00034616">
      <w:pgSz w:w="12240" w:h="15840"/>
      <w:pgMar w:top="864"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