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9416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58129.83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195724.67 руб.</w:t>
      </w:r>
    </w:p>
    <w:p>
      <w:pPr>
        <w:ind w:firstLine="800"/>
      </w:pPr>
      <w:r>
        <w:t xml:space="preserve">Неустойка по договору: 10785.19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36000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Условиями договора займа определена подсудность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Тутулин Валерий Геннадьевич задолженность на 06.01.2023 г. по договору займа № 2849 от 14.02.2018 г. в сумме 58129.83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10785.19 руб.</w:t>
      </w:r>
    </w:p>
    <w:p>
      <w:r>
        <w:t xml:space="preserve">2.  Взыскать с Мухаметдинова Фердауса Асгатовича в пользу Тутулин Валерий Геннадьевич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665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+ 73701.53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73701.53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+ 40452.72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114154.25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+ 81570.42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195724.67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195724.67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2023-01-06T11:50:16.917Z</dcterms:created>
  <dcterms:modified xsi:type="dcterms:W3CDTF">2023-01-06T11:50:16.917Z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