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NaN руб.</w:t>
      </w:r>
    </w:p>
    <w:p>
      <w:pPr>
        <w:ind w:left="4000"/>
        <w:jc w:val="right"/>
      </w:pPr>
      <w:r>
        <w:t xml:space="preserve">Госпошлина: NaN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7924.11 руб.</w:t>
      </w:r>
    </w:p>
    <w:p>
      <w:pPr>
        <w:ind w:firstLine="800"/>
      </w:pPr>
      <w:r>
        <w:t xml:space="preserve">Проценты по договору: 143892 руб.</w:t>
      </w:r>
    </w:p>
    <w:p>
      <w:pPr>
        <w:ind w:firstLine="800"/>
      </w:pPr>
      <w:r>
        <w:t xml:space="preserve">неустойка по договору: NaN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06.05.2022 г. по договору займа № 5833 от 15.04.2019 г. в сумме NaN руб., в том числе:</w:t>
      </w:r>
    </w:p>
    <w:p>
      <w:r>
        <w:t xml:space="preserve">1.1.  Основной долг в размере 7924.11 руб.</w:t>
      </w:r>
    </w:p>
    <w:p>
      <w:r>
        <w:t xml:space="preserve">1.2.  Проценты за пользование займом в размере 143892 руб.</w:t>
      </w:r>
    </w:p>
    <w:p>
      <w:r>
        <w:t xml:space="preserve">1.3.  Неустойка за просрочку исполнения обязательств в размере NaN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NaN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30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4024.11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- 75.89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230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+ 30558.84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30558.84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366 / 366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+ 48363.05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78921.89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491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+ 64970.76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143892.65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143892.65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7924.11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230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NaN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NaN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491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NaN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NaN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2022-05-06T10:21:24.878Z</dcterms:created>
  <dcterms:modified xsi:type="dcterms:W3CDTF">2022-05-06T10:21:24.878Z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