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23899.11 руб.</w:t>
      </w:r>
    </w:p>
    <w:p>
      <w:pPr>
        <w:ind w:left="4000"/>
        <w:jc w:val="right"/>
      </w:pPr>
      <w:r>
        <w:t xml:space="preserve">Госпошлина: 458.49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14977 руб.</w:t>
      </w:r>
    </w:p>
    <w:p>
      <w:pPr>
        <w:ind w:firstLine="800"/>
      </w:pPr>
      <w:r>
        <w:t xml:space="preserve">неустойка по договору: 998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08.05.2022 г. по договору займа № 5833 от 15.04.2019 г. в сумме 23899.11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14977 руб.</w:t>
      </w:r>
    </w:p>
    <w:p>
      <w:r>
        <w:t xml:space="preserve">1.3.  Неустойка за просрочку исполнения обязательств в размере 998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458.49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+ 14977.24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14977.24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14977.24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+ 998.65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998.65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998.65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2022-05-08T08:41:09.044Z</dcterms:created>
  <dcterms:modified xsi:type="dcterms:W3CDTF">2022-05-08T08:41:09.044Z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