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125085.00 руб.</w:t>
      </w:r>
    </w:p>
    <w:p>
      <w:pPr>
        <w:jc w:val="right"/>
      </w:pPr>
      <w:r>
        <w:t xml:space="preserve">Госпошлина: 1850.85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20 (далее - "Договор"). В соответствии с условиями договора взыскатель передал должнику денежную сумму в размере 30000.00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24.04.2022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33228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24.04.2022 г. сумма неустойки составляет 61857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24.04.2022 г. по договору займа № 20 от 01.01.2010 г. в сумме 125085.00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33228 руб.</w:t>
      </w:r>
    </w:p>
    <w:p>
      <w:r>
        <w:t xml:space="preserve">1.3.  Неустойка за просрочку исполнения обязательств в размере 61857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1850.85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61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+ 501.37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13561.64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13361.64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11.07.2015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174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477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+ 3920.55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33712.33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22.04.2022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33212.33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+ 16.44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33228.77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33228.77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479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+ 7873.98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61857.59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61857.59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2022-04-24T08:42:43.243Z</dcterms:created>
  <dcterms:modified xsi:type="dcterms:W3CDTF">2022-04-24T08:42:43.243Z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