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127959.00 руб.</w:t>
      </w:r>
    </w:p>
    <w:p>
      <w:pPr>
        <w:jc w:val="right"/>
      </w:pPr>
      <w:r>
        <w:t xml:space="preserve">Госпошлина: 3759.18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истуц передал ответчику денежную сумму в размере 30000.00 рублей сроком на 730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27.04.2022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36053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27.04.2022 г. сумма неустойки составляет 61906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27.04.2022 г. по договору займа № 20 от 01.01.2010 г. в сумме 127959.00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36053 руб.</w:t>
      </w:r>
    </w:p>
    <w:p>
      <w:r>
        <w:t xml:space="preserve">1.3.  Неустойка за просрочку исполнения обязательств в размере 61906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3759.18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482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36053.42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36053.42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482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+ 7923.29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61906.90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61906.90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2022-04-27T14:11:36.399Z</dcterms:created>
  <dcterms:modified xsi:type="dcterms:W3CDTF">2022-04-27T14:11:36.399Z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