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Тестов Тест Тестович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Дата рождения: 17.07.1995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9414 № 412216</w:t>
      </w:r>
    </w:p>
    <w:p>
      <w:pPr>
        <w:ind w:left="4000"/>
        <w:jc w:val="right"/>
      </w:pPr>
      <w:r>
        <w:t xml:space="preserve">Цена иска: 103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01.01.2015 г. Заглушка (далее - "Истец") и Тестов Тест Тестович (далее - "Ответчик") заключили договор займа № 10 (далее - "Договор"). В соответствии с условиями договора истец передал ответчику денежную сумму в размере 20.00 рублей сроком на 855 дня, а ответчик обязался возвратить такую же сумму денег и уплатить проценты в размере 50.00 % годовых от суммы займа.
            </w:t>
      </w:r>
    </w:p>
    <w:p>
      <w:pPr>
        <w:ind w:firstLine="800"/>
      </w:pPr>
      <w:r>
        <w:t xml:space="preserve">01.01.2015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10.00 %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19.05.2022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10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19.05.2022 г. по договору займа № 10 от 01.01.2015 г. в сумме 103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10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364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504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+ 13.81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970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5.32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7.32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504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10.08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10.08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2022-05-19T12:17:16.455Z</dcterms:created>
  <dcterms:modified xsi:type="dcterms:W3CDTF">2022-05-19T12:17:16.455Z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