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1330 руб.</w:t>
      </w:r>
    </w:p>
    <w:p>
      <w:pPr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20.05.2017 г. ООО "Удмуртская Финансовая Компания" (далее - "Истец") и выффвы фывыффы ыфывф (далее - "Ответчик") заключили договор займа № 100000000000 (далее - "Договор"). В соответствии с условиями договора истец передал ответчику денежную сумму в размере 500.00 рублей сроком на 1446 дня, а ответчик обязался возвратить такую же сумму денег и уплатить проценты в размере 500.00 % годовых от суммы займа.
            </w:t>
      </w:r>
    </w:p>
    <w:p>
      <w:pPr>
        <w:ind w:firstLine="800"/>
      </w:pPr>
      <w:r>
        <w:t xml:space="preserve">20.05.2017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500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330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20.05.2017 г. в сумме 1330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500 руб.</w:t>
      </w:r>
    </w:p>
    <w:p>
      <w:r>
        <w:t xml:space="preserve">1.3.  Неустойка за просрочку исполнения обязательств в размере 330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1077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1077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730 / 366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500.00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500.00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330.83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330.83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2022-05-01T13:49:39.757Z</dcterms:created>
  <dcterms:modified xsi:type="dcterms:W3CDTF">2022-05-01T13:49:39.757Z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