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700"/>
        <w:jc w:val="center"/>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before="0" w:after="1586"/>
        <w:jc w:val="center"/>
        <w:rPr>
          <w:rFonts w:ascii="Times New Roman" w:hAnsi="Times New Roman"/>
          <w:b/>
          <w:bCs/>
          <w:color w:val="000000"/>
          <w:sz w:val="40"/>
          <w:szCs w:val="40"/>
          <w:lang w:val="ru-RU"/>
        </w:rPr>
      </w:pPr>
      <w:r>
        <w:rPr>
          <w:rFonts w:ascii="Times New Roman" w:hAnsi="Times New Roman"/>
          <w:b/>
          <w:bCs/>
          <w:color w:val="000000"/>
          <w:sz w:val="40"/>
          <w:szCs w:val="40"/>
          <w:lang w:val="ru-RU"/>
        </w:rPr>
        <w:t>Итоговый отчет</w:t>
      </w:r>
    </w:p>
    <w:p>
      <w:pPr>
        <w:pStyle w:val="Normal"/>
        <w:spacing w:lineRule="auto" w:line="276" w:before="0" w:after="1529"/>
        <w:jc w:val="center"/>
        <w:rPr>
          <w:rFonts w:ascii="Times New Roman" w:hAnsi="Times New Roman"/>
          <w:b/>
          <w:bCs/>
          <w:color w:val="000000"/>
          <w:sz w:val="40"/>
          <w:szCs w:val="40"/>
          <w:lang w:val="ru-RU"/>
        </w:rPr>
      </w:pPr>
      <w:r>
        <w:rPr>
          <w:rFonts w:ascii="Times New Roman" w:hAnsi="Times New Roman"/>
          <w:b/>
          <w:bCs/>
          <w:color w:val="000000"/>
          <w:sz w:val="40"/>
          <w:szCs w:val="40"/>
          <w:lang w:val="ru-RU"/>
        </w:rPr>
        <w:t>Фаза 1</w:t>
      </w:r>
    </w:p>
    <w:p>
      <w:pPr>
        <w:pStyle w:val="Normal"/>
        <w:spacing w:lineRule="auto" w:line="276" w:before="0" w:after="1529"/>
        <w:jc w:val="center"/>
        <w:rPr>
          <w:rFonts w:ascii="Times New Roman" w:hAnsi="Times New Roman"/>
          <w:b/>
          <w:bCs/>
          <w:color w:val="000000"/>
          <w:sz w:val="36"/>
          <w:szCs w:val="36"/>
          <w:lang w:val="ru-RU"/>
        </w:rPr>
      </w:pPr>
      <w:r>
        <w:rPr>
          <w:rFonts w:ascii="Times New Roman" w:hAnsi="Times New Roman"/>
          <w:b/>
          <w:bCs/>
          <w:color w:val="000000"/>
          <w:sz w:val="36"/>
          <w:szCs w:val="36"/>
          <w:lang w:val="ru-RU"/>
        </w:rPr>
        <w:t>Проектный менеджемент</w:t>
      </w:r>
    </w:p>
    <w:p>
      <w:pPr>
        <w:pStyle w:val="Normal"/>
        <w:spacing w:lineRule="auto" w:line="276" w:before="0" w:after="1529"/>
        <w:jc w:val="center"/>
        <w:rPr>
          <w:rFonts w:ascii="Times New Roman" w:hAnsi="Times New Roman"/>
          <w:color w:val="000000"/>
          <w:sz w:val="24"/>
          <w:szCs w:val="24"/>
          <w:u w:val="single"/>
          <w:lang w:val="ru-RU"/>
        </w:rPr>
      </w:pPr>
      <w:r>
        <w:rPr>
          <w:rFonts w:ascii="Times New Roman" w:hAnsi="Times New Roman"/>
          <w:color w:val="000000"/>
          <w:sz w:val="24"/>
          <w:szCs w:val="24"/>
          <w:u w:val="single"/>
          <w:lang w:val="en-US"/>
        </w:rPr>
        <w:t>К</w:t>
      </w:r>
      <w:r>
        <w:rPr>
          <w:rFonts w:ascii="Times New Roman" w:hAnsi="Times New Roman"/>
          <w:color w:val="000000"/>
          <w:sz w:val="24"/>
          <w:szCs w:val="24"/>
          <w:u w:val="single"/>
          <w:lang w:val="ru-RU"/>
        </w:rPr>
        <w:t>оманда</w:t>
      </w:r>
      <w:r>
        <w:rPr>
          <w:rFonts w:ascii="Times New Roman" w:hAnsi="Times New Roman"/>
          <w:color w:val="000000"/>
          <w:sz w:val="24"/>
          <w:szCs w:val="24"/>
          <w:u w:val="single"/>
          <w:lang w:val="en-US"/>
        </w:rPr>
        <w:t xml:space="preserve">: </w:t>
      </w:r>
      <w:r>
        <w:rPr>
          <w:rFonts w:ascii="Times New Roman" w:hAnsi="Times New Roman"/>
          <w:color w:val="000000"/>
          <w:sz w:val="24"/>
          <w:szCs w:val="24"/>
          <w:u w:val="single"/>
          <w:lang w:val="ru-RU"/>
        </w:rPr>
        <w:t>Шабунин Артем, Карманова Вероника, Попов Валерий (24 группа)</w:t>
      </w:r>
      <w:r>
        <w:br w:type="page"/>
      </w:r>
    </w:p>
    <w:p>
      <w:pPr>
        <w:pStyle w:val="Heading1"/>
        <w:spacing w:before="0" w:after="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4"/>
          <w:szCs w:val="24"/>
        </w:rPr>
      </w:pPr>
      <w:r>
        <w:rPr>
          <w:rFonts w:ascii="Times New Roman" w:hAnsi="Times New Roman"/>
          <w:color w:val="000000"/>
          <w:sz w:val="24"/>
          <w:szCs w:val="24"/>
        </w:rPr>
        <w:t>Цель и постановка</w:t>
      </w:r>
    </w:p>
    <w:p>
      <w:pPr>
        <w:pStyle w:val="Normal"/>
        <w:jc w:val="both"/>
        <w:rPr>
          <w:rFonts w:ascii="Times New Roman" w:hAnsi="Times New Roman"/>
          <w:color w:val="000000"/>
          <w:sz w:val="24"/>
          <w:szCs w:val="24"/>
        </w:rPr>
      </w:pPr>
      <w:r>
        <w:rPr>
          <w:rFonts w:ascii="Times New Roman" w:hAnsi="Times New Roman"/>
          <w:color w:val="000000"/>
          <w:sz w:val="24"/>
          <w:szCs w:val="24"/>
        </w:rPr>
        <w:t>Цель работы — определить концепцию, которую целесообразно принять для дальнейшей проработки в рамках вузовского проекта. Объектом сравнения выступают четыре альтернативы, а предметом оценки — их относительная привлекательность по совокупности технических, прикладных и перспективных характеристик.</w:t>
      </w:r>
    </w:p>
    <w:p>
      <w:pPr>
        <w:pStyle w:val="ListBullet"/>
        <w:numPr>
          <w:ilvl w:val="0"/>
          <w:numId w:val="1"/>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Сформировать понятное описание каждой концепции</w:t>
      </w:r>
    </w:p>
    <w:p>
      <w:pPr>
        <w:pStyle w:val="ListBullet"/>
        <w:numPr>
          <w:ilvl w:val="0"/>
          <w:numId w:val="1"/>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Сравнить проекты по единой системе критериев.</w:t>
      </w:r>
    </w:p>
    <w:p>
      <w:pPr>
        <w:pStyle w:val="ListBullet"/>
        <w:numPr>
          <w:ilvl w:val="0"/>
          <w:numId w:val="1"/>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Учесть индивидуальные мнения трех участников команды.</w:t>
      </w:r>
    </w:p>
    <w:p>
      <w:pPr>
        <w:pStyle w:val="ListBullet"/>
        <w:numPr>
          <w:ilvl w:val="0"/>
          <w:numId w:val="1"/>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Получить ранги методами TOPSIS и МАИ и сопоставить результаты.</w:t>
      </w:r>
    </w:p>
    <w:p>
      <w:pPr>
        <w:pStyle w:val="ListBullet"/>
        <w:numPr>
          <w:ilvl w:val="0"/>
          <w:numId w:val="1"/>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Выбрать основную и резервную концепции.</w:t>
      </w:r>
    </w:p>
    <w:p>
      <w:pPr>
        <w:pStyle w:val="Heading1"/>
        <w:rPr>
          <w:rFonts w:ascii="Times New Roman" w:hAnsi="Times New Roman"/>
          <w:color w:val="000000"/>
          <w:sz w:val="28"/>
          <w:szCs w:val="28"/>
        </w:rPr>
      </w:pPr>
      <w:r>
        <w:rPr>
          <w:rFonts w:ascii="Times New Roman" w:hAnsi="Times New Roman"/>
          <w:color w:val="000000"/>
          <w:sz w:val="28"/>
          <w:szCs w:val="28"/>
        </w:rPr>
        <w:t>Описание концепций</w:t>
      </w:r>
    </w:p>
    <w:p>
      <w:pPr>
        <w:pStyle w:val="Heading2"/>
        <w:rPr>
          <w:rFonts w:ascii="Times New Roman" w:hAnsi="Times New Roman"/>
          <w:color w:val="000000"/>
          <w:sz w:val="24"/>
          <w:szCs w:val="24"/>
        </w:rPr>
      </w:pPr>
      <w:r>
        <w:rPr>
          <w:rFonts w:ascii="Times New Roman" w:hAnsi="Times New Roman"/>
          <w:color w:val="000000"/>
          <w:sz w:val="24"/>
          <w:szCs w:val="24"/>
        </w:rPr>
        <w:t>СтудАктив</w:t>
      </w:r>
    </w:p>
    <w:p>
      <w:pPr>
        <w:pStyle w:val="Normal"/>
        <w:jc w:val="both"/>
        <w:rPr>
          <w:rFonts w:ascii="Times New Roman" w:hAnsi="Times New Roman"/>
          <w:color w:val="000000"/>
          <w:sz w:val="24"/>
          <w:szCs w:val="24"/>
        </w:rPr>
      </w:pPr>
      <w:r>
        <w:rPr>
          <w:rFonts w:ascii="Times New Roman" w:hAnsi="Times New Roman"/>
          <w:color w:val="000000"/>
          <w:sz w:val="24"/>
          <w:szCs w:val="24"/>
        </w:rPr>
        <w:t>«СтудАктив» — информационная система для учета инвентаря и организации студенческих мероприятий. Предполагаемыми пользователями являются студенческие объединения, организаторы мероприятий и ответственные сотрудники вуза. Система может хранить сведения об оборудовании и расходных материалах, фиксировать выдачу и возврат имущества, поддерживать календарь мероприятий и распределение ответственных.</w:t>
      </w:r>
    </w:p>
    <w:p>
      <w:pPr>
        <w:pStyle w:val="Normal"/>
        <w:jc w:val="both"/>
        <w:rPr>
          <w:rFonts w:ascii="Times New Roman" w:hAnsi="Times New Roman"/>
          <w:color w:val="000000"/>
          <w:sz w:val="24"/>
          <w:szCs w:val="24"/>
        </w:rPr>
      </w:pPr>
      <w:r>
        <w:rPr>
          <w:rFonts w:ascii="Times New Roman" w:hAnsi="Times New Roman"/>
          <w:color w:val="000000"/>
          <w:sz w:val="24"/>
          <w:szCs w:val="24"/>
        </w:rPr>
        <w:t xml:space="preserve">Практическая ценность концепции связана с уменьшением потерь инвентаря, повышением прозрачности подготовки мероприятий и сохранением истории использования ресурсов. Технически проект может включать каталог объектов, роли пользователей, статусы заявок, уведомления и отчеты. Основной риск состоит в широком объеме предметной области: в одной системе объединяются </w:t>
      </w:r>
      <w:r>
        <w:rPr>
          <w:rFonts w:ascii="Times New Roman" w:hAnsi="Times New Roman"/>
          <w:color w:val="000000"/>
          <w:sz w:val="24"/>
          <w:szCs w:val="24"/>
          <w:lang w:val="ru-RU"/>
        </w:rPr>
        <w:t>инвентарный</w:t>
      </w:r>
      <w:r>
        <w:rPr>
          <w:rFonts w:ascii="Times New Roman" w:hAnsi="Times New Roman"/>
          <w:color w:val="000000"/>
          <w:sz w:val="24"/>
          <w:szCs w:val="24"/>
        </w:rPr>
        <w:t xml:space="preserve"> учет и управление мероприятиями, поэтому для учебной реализации важно ограничить минимально жизнеспособный функционал.</w:t>
      </w:r>
    </w:p>
    <w:p>
      <w:pPr>
        <w:pStyle w:val="Heading2"/>
        <w:rPr>
          <w:rFonts w:ascii="Times New Roman" w:hAnsi="Times New Roman"/>
          <w:color w:val="000000"/>
          <w:sz w:val="24"/>
          <w:szCs w:val="24"/>
        </w:rPr>
      </w:pPr>
      <w:r>
        <w:rPr>
          <w:rFonts w:ascii="Times New Roman" w:hAnsi="Times New Roman"/>
          <w:color w:val="000000"/>
          <w:sz w:val="24"/>
          <w:szCs w:val="24"/>
        </w:rPr>
        <w:t>Посещаемость</w:t>
      </w:r>
    </w:p>
    <w:p>
      <w:pPr>
        <w:pStyle w:val="Normal"/>
        <w:jc w:val="both"/>
        <w:rPr>
          <w:rFonts w:ascii="Times New Roman" w:hAnsi="Times New Roman"/>
          <w:color w:val="000000"/>
          <w:sz w:val="24"/>
          <w:szCs w:val="24"/>
        </w:rPr>
      </w:pPr>
      <w:r>
        <w:rPr>
          <w:rFonts w:ascii="Times New Roman" w:hAnsi="Times New Roman"/>
          <w:color w:val="000000"/>
          <w:sz w:val="24"/>
          <w:szCs w:val="24"/>
        </w:rPr>
        <w:t>«Посещаемость» — система регистрации присутствия студентов на занятиях с использованием QR-кода. Преподаватель формирует код для конкретной пары, студент сканирует его, а система сохраняет отметку с привязкой к дисциплине, группе, времени и пользователю. Дополнительный функционал может включать журнал посещений, выгрузку отчетов и статистику по студентам и занятиям.</w:t>
      </w:r>
    </w:p>
    <w:p>
      <w:pPr>
        <w:pStyle w:val="Normal"/>
        <w:jc w:val="both"/>
        <w:rPr>
          <w:rFonts w:ascii="Times New Roman" w:hAnsi="Times New Roman"/>
          <w:color w:val="000000"/>
          <w:sz w:val="24"/>
          <w:szCs w:val="24"/>
        </w:rPr>
      </w:pPr>
      <w:r>
        <w:rPr>
          <w:rFonts w:ascii="Times New Roman" w:hAnsi="Times New Roman"/>
          <w:color w:val="000000"/>
          <w:sz w:val="24"/>
          <w:szCs w:val="24"/>
        </w:rPr>
        <w:t>Сильная сторона концепции — понятный прикладной эффект: автоматизация сокращает ручное заполнение журналов и ускоряет подготовку отчетности. Вместе с тем необходимо предусмотреть защиту от передачи QR-кода отсутствующим студентам, ограничение времени действия кода и правила обработки персональных данных. Для учебного прототипа задача хорошо декомпозируется на авторизацию, создание занятия, генерацию кода, фиксацию отметки и отчет.</w:t>
      </w:r>
    </w:p>
    <w:p>
      <w:pPr>
        <w:pStyle w:val="Heading2"/>
        <w:rPr>
          <w:rFonts w:ascii="Times New Roman" w:hAnsi="Times New Roman"/>
          <w:color w:val="000000"/>
          <w:sz w:val="24"/>
          <w:szCs w:val="24"/>
        </w:rPr>
      </w:pPr>
      <w:r>
        <w:rPr>
          <w:rFonts w:ascii="Times New Roman" w:hAnsi="Times New Roman"/>
          <w:color w:val="000000"/>
          <w:sz w:val="24"/>
          <w:szCs w:val="24"/>
        </w:rPr>
        <w:t>Мой рейтинг</w:t>
      </w:r>
    </w:p>
    <w:p>
      <w:pPr>
        <w:pStyle w:val="Normal"/>
        <w:jc w:val="both"/>
        <w:rPr>
          <w:rFonts w:ascii="Times New Roman" w:hAnsi="Times New Roman"/>
          <w:color w:val="000000"/>
          <w:sz w:val="24"/>
          <w:szCs w:val="24"/>
        </w:rPr>
      </w:pPr>
      <w:r>
        <w:rPr>
          <w:rFonts w:ascii="Times New Roman" w:hAnsi="Times New Roman"/>
          <w:color w:val="000000"/>
          <w:sz w:val="24"/>
          <w:szCs w:val="24"/>
        </w:rPr>
        <w:t>«Мой рейтинг» — персональный сервис для учета оценок и прогнозирования учебных результатов, включая ориентировочную оценку вероятности получения стипендии. Пользователь вводит или импортирует текущие оценки, видит средний балл, динамику по дисциплинам и возможные сценарии изменения результата после будущих контрольных мероприятий.</w:t>
      </w:r>
    </w:p>
    <w:p>
      <w:pPr>
        <w:pStyle w:val="Normal"/>
        <w:jc w:val="both"/>
        <w:rPr>
          <w:rFonts w:ascii="Times New Roman" w:hAnsi="Times New Roman"/>
          <w:color w:val="000000"/>
          <w:sz w:val="24"/>
          <w:szCs w:val="24"/>
        </w:rPr>
      </w:pPr>
      <w:r>
        <w:rPr>
          <w:rFonts w:ascii="Times New Roman" w:hAnsi="Times New Roman"/>
          <w:color w:val="000000"/>
          <w:sz w:val="24"/>
          <w:szCs w:val="24"/>
        </w:rPr>
        <w:t>Преимущество проекта состоит в персонализации и наглядной обратной связи для студента. Однако точность прогноза зависит от полноты данных и формальных правил расчета стипендии, которые могут отличаться между образовательными организациями. Поэтому прогноз должен трактоваться как вспомогательная оценка, а не как гарантированный результат; в учебной версии следует явно определить формулу и ограничения модели.</w:t>
      </w:r>
    </w:p>
    <w:p>
      <w:pPr>
        <w:pStyle w:val="Heading2"/>
        <w:rPr>
          <w:rFonts w:ascii="Times New Roman" w:hAnsi="Times New Roman"/>
          <w:color w:val="000000"/>
          <w:sz w:val="24"/>
          <w:szCs w:val="24"/>
        </w:rPr>
      </w:pPr>
      <w:r>
        <w:rPr>
          <w:rFonts w:ascii="Times New Roman" w:hAnsi="Times New Roman"/>
          <w:color w:val="000000"/>
          <w:sz w:val="24"/>
          <w:szCs w:val="24"/>
        </w:rPr>
        <w:t>Аудитории</w:t>
      </w:r>
    </w:p>
    <w:p>
      <w:pPr>
        <w:pStyle w:val="Normal"/>
        <w:jc w:val="both"/>
        <w:rPr>
          <w:rFonts w:ascii="Times New Roman" w:hAnsi="Times New Roman"/>
          <w:color w:val="000000"/>
          <w:sz w:val="24"/>
          <w:szCs w:val="24"/>
        </w:rPr>
      </w:pPr>
      <w:r>
        <w:rPr>
          <w:rFonts w:ascii="Times New Roman" w:hAnsi="Times New Roman"/>
          <w:color w:val="000000"/>
          <w:sz w:val="24"/>
          <w:szCs w:val="24"/>
        </w:rPr>
        <w:t>«Аудитории» — система бронирования помещений и оборудования вуза. Пользователь выбирает дату и время, проверяет доступность аудитории или оборудования, создает заявку, а ответственный сотрудник подтверждает либо отклоняет ее. Система может учитывать вместимость, назначение помещения, оснащение, правила доступа и пересечения во времени.</w:t>
      </w:r>
    </w:p>
    <w:p>
      <w:pPr>
        <w:pStyle w:val="Normal"/>
        <w:jc w:val="both"/>
        <w:rPr>
          <w:rFonts w:ascii="Times New Roman" w:hAnsi="Times New Roman"/>
          <w:color w:val="000000"/>
          <w:sz w:val="24"/>
          <w:szCs w:val="24"/>
        </w:rPr>
      </w:pPr>
      <w:r>
        <w:rPr>
          <w:rFonts w:ascii="Times New Roman" w:hAnsi="Times New Roman"/>
          <w:color w:val="000000"/>
          <w:sz w:val="24"/>
          <w:szCs w:val="24"/>
        </w:rPr>
        <w:t>Концепция решает хорошо структурированную организационную проблему и может быть полезна студентам, преподавателям, учебным подразделениям и организаторам мероприятий. Ее минимальная версия включает каталог ресурсов, календарь доступности, форму бронирования, проверку конфликтов и управление статусами. Потенциал развития связан с интеграцией с расписанием, уведомлениями, аналитикой загрузки и электронными пропусками.</w:t>
        <w:br/>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3"/>
        <w:gridCol w:w="7479"/>
      </w:tblGrid>
      <w:tr>
        <w:trPr>
          <w:cantSplit/>
        </w:trPr>
        <w:tc>
          <w:tcPr>
            <w:tcW w:w="2493"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Концепция</w:t>
            </w:r>
          </w:p>
        </w:tc>
        <w:tc>
          <w:tcPr>
            <w:tcW w:w="7479"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Основная задача</w:t>
            </w:r>
          </w:p>
        </w:tc>
      </w:tr>
      <w:tr>
        <w:trPr>
          <w:cantSplit/>
        </w:trPr>
        <w:tc>
          <w:tcPr>
            <w:tcW w:w="2493"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СтудАктив</w:t>
            </w:r>
          </w:p>
        </w:tc>
        <w:tc>
          <w:tcPr>
            <w:tcW w:w="7479"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Учет имущества и сопровождение мероприятий</w:t>
            </w:r>
          </w:p>
        </w:tc>
      </w:tr>
      <w:tr>
        <w:trPr>
          <w:cantSplit/>
        </w:trPr>
        <w:tc>
          <w:tcPr>
            <w:tcW w:w="2493"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Посещаемость</w:t>
            </w:r>
          </w:p>
        </w:tc>
        <w:tc>
          <w:tcPr>
            <w:tcW w:w="7479"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Автоматизация отметок на занятиях</w:t>
            </w:r>
          </w:p>
        </w:tc>
      </w:tr>
      <w:tr>
        <w:trPr>
          <w:cantSplit/>
        </w:trPr>
        <w:tc>
          <w:tcPr>
            <w:tcW w:w="2493"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Мой рейтинг</w:t>
            </w:r>
          </w:p>
        </w:tc>
        <w:tc>
          <w:tcPr>
            <w:tcW w:w="7479"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Контроль успеваемости и прогноз результата</w:t>
            </w:r>
          </w:p>
        </w:tc>
      </w:tr>
      <w:tr>
        <w:trPr>
          <w:cantSplit/>
        </w:trPr>
        <w:tc>
          <w:tcPr>
            <w:tcW w:w="2493"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Аудитории</w:t>
            </w:r>
          </w:p>
        </w:tc>
        <w:tc>
          <w:tcPr>
            <w:tcW w:w="7479"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Бронирование помещений и оборудования</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4"/>
          <w:szCs w:val="24"/>
        </w:rPr>
      </w:pPr>
      <w:r>
        <w:rPr>
          <w:rFonts w:ascii="Times New Roman" w:hAnsi="Times New Roman"/>
          <w:color w:val="000000"/>
          <w:sz w:val="24"/>
          <w:szCs w:val="24"/>
        </w:rPr>
        <w:t>Критерии оценки</w:t>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24"/>
        <w:gridCol w:w="6648"/>
      </w:tblGrid>
      <w:tr>
        <w:trPr>
          <w:cantSplit/>
        </w:trPr>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Критерий</w:t>
            </w:r>
          </w:p>
        </w:tc>
        <w:tc>
          <w:tcPr>
            <w:tcW w:w="6648"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Содержание</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С1. Техническая реализуемость</w:t>
            </w:r>
          </w:p>
        </w:tc>
        <w:tc>
          <w:tcPr>
            <w:tcW w:w="6648"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Сложность архитектуры, доступность технологий, интеграций и компетенций команды</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С2. Практическая ценность</w:t>
            </w:r>
          </w:p>
        </w:tc>
        <w:tc>
          <w:tcPr>
            <w:tcW w:w="6648"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Полезность результата и наличие реальной пользовательской проблемы</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С3. Понятность требований</w:t>
            </w:r>
          </w:p>
        </w:tc>
        <w:tc>
          <w:tcPr>
            <w:tcW w:w="6648"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Определенность сценариев, ролей, данных и границ продукта</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С4. Потенциал развития</w:t>
            </w:r>
          </w:p>
        </w:tc>
        <w:tc>
          <w:tcPr>
            <w:tcW w:w="6648"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Возможность расширения функций, аудитории и интеграций</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Normal"/>
        <w:jc w:val="both"/>
        <w:rPr>
          <w:rFonts w:ascii="Times New Roman" w:hAnsi="Times New Roman"/>
          <w:color w:val="000000"/>
          <w:sz w:val="24"/>
          <w:szCs w:val="24"/>
        </w:rPr>
      </w:pPr>
      <w:r>
        <w:rPr>
          <w:rFonts w:ascii="Times New Roman" w:hAnsi="Times New Roman"/>
          <w:color w:val="000000"/>
          <w:sz w:val="24"/>
          <w:szCs w:val="24"/>
        </w:rPr>
      </w:r>
      <w:r>
        <w:br w:type="page"/>
      </w:r>
    </w:p>
    <w:p>
      <w:pPr>
        <w:pStyle w:val="Heading1"/>
        <w:spacing w:before="0" w:after="0"/>
        <w:rPr>
          <w:rFonts w:ascii="Times New Roman" w:hAnsi="Times New Roman"/>
          <w:color w:val="000000"/>
          <w:sz w:val="32"/>
          <w:szCs w:val="32"/>
        </w:rPr>
      </w:pPr>
      <w:r>
        <w:rPr>
          <w:rFonts w:ascii="Times New Roman" w:hAnsi="Times New Roman"/>
          <w:color w:val="000000"/>
          <w:sz w:val="32"/>
          <w:szCs w:val="32"/>
        </w:rPr>
        <w:t>Многокритериальный выбо</w:t>
      </w:r>
      <w:r>
        <w:rPr>
          <w:rFonts w:ascii="Times New Roman" w:hAnsi="Times New Roman"/>
          <w:color w:val="000000"/>
          <w:sz w:val="32"/>
          <w:szCs w:val="32"/>
          <w:lang w:val="ru-RU"/>
        </w:rPr>
        <w:t>р</w:t>
      </w:r>
    </w:p>
    <w:p>
      <w:pPr>
        <w:pStyle w:val="Heading1"/>
        <w:rPr>
          <w:rFonts w:ascii="Times New Roman" w:hAnsi="Times New Roman"/>
          <w:color w:val="000000"/>
          <w:sz w:val="28"/>
          <w:szCs w:val="28"/>
        </w:rPr>
      </w:pPr>
      <w:r>
        <w:rPr>
          <w:rFonts w:ascii="Times New Roman" w:hAnsi="Times New Roman"/>
          <w:color w:val="000000"/>
          <w:sz w:val="28"/>
          <w:szCs w:val="28"/>
        </w:rPr>
        <w:t>Метод TOPSIS</w:t>
      </w:r>
    </w:p>
    <w:p>
      <w:pPr>
        <w:pStyle w:val="Heading2"/>
        <w:rPr>
          <w:rFonts w:ascii="Times New Roman" w:hAnsi="Times New Roman"/>
          <w:color w:val="000000"/>
          <w:sz w:val="24"/>
          <w:szCs w:val="24"/>
        </w:rPr>
      </w:pPr>
      <w:r>
        <w:rPr>
          <w:rFonts w:ascii="Times New Roman" w:hAnsi="Times New Roman"/>
          <w:color w:val="000000"/>
          <w:sz w:val="24"/>
          <w:szCs w:val="24"/>
        </w:rPr>
        <w:t>Основная идея</w:t>
      </w:r>
    </w:p>
    <w:p>
      <w:pPr>
        <w:pStyle w:val="Normal"/>
        <w:jc w:val="both"/>
        <w:rPr>
          <w:rFonts w:ascii="Times New Roman" w:hAnsi="Times New Roman"/>
          <w:color w:val="000000"/>
          <w:sz w:val="24"/>
          <w:szCs w:val="24"/>
        </w:rPr>
      </w:pPr>
      <w:r>
        <w:rPr>
          <w:rFonts w:ascii="Times New Roman" w:hAnsi="Times New Roman"/>
          <w:color w:val="000000"/>
          <w:sz w:val="24"/>
          <w:szCs w:val="24"/>
        </w:rPr>
        <w:t>TOPSIS — метод упорядочивания альтернатив по близости к идеальному решению. Положительный идеал объединяет лучшие значения по всем критериям, а отрицательный идеал — худшие. Предпочтительной считается альтернатива, которая одновременно находится ближе к положительному идеалу и дальше от отрицательного.</w:t>
      </w:r>
    </w:p>
    <w:p>
      <w:pPr>
        <w:pStyle w:val="Heading2"/>
        <w:rPr>
          <w:rFonts w:ascii="Times New Roman" w:hAnsi="Times New Roman"/>
          <w:color w:val="000000"/>
          <w:sz w:val="24"/>
          <w:szCs w:val="24"/>
        </w:rPr>
      </w:pPr>
      <w:r>
        <w:rPr>
          <w:rFonts w:ascii="Times New Roman" w:hAnsi="Times New Roman"/>
          <w:color w:val="000000"/>
          <w:sz w:val="24"/>
          <w:szCs w:val="24"/>
        </w:rPr>
        <w:t>Нечеткие оценки</w:t>
      </w:r>
    </w:p>
    <w:p>
      <w:pPr>
        <w:pStyle w:val="Normal"/>
        <w:jc w:val="both"/>
        <w:rPr>
          <w:rFonts w:ascii="Times New Roman" w:hAnsi="Times New Roman"/>
          <w:color w:val="000000"/>
          <w:sz w:val="24"/>
          <w:szCs w:val="24"/>
        </w:rPr>
      </w:pPr>
      <w:r>
        <w:rPr>
          <w:rFonts w:ascii="Times New Roman" w:hAnsi="Times New Roman"/>
          <w:color w:val="000000"/>
          <w:sz w:val="24"/>
          <w:szCs w:val="24"/>
        </w:rPr>
        <w:t xml:space="preserve">В расчетах использованы трехточечные оценки в форме треугольных нечетких чисел (l, m, u). Компонента l отражает пессимистическую границу, m — наиболее ожидаемую оценку, u — оптимистическую границу. </w:t>
      </w:r>
    </w:p>
    <w:p>
      <w:pPr>
        <w:pStyle w:val="Normal"/>
        <w:jc w:val="both"/>
        <w:rPr>
          <w:rFonts w:ascii="Times New Roman" w:hAnsi="Times New Roman"/>
          <w:color w:val="000000"/>
          <w:sz w:val="24"/>
          <w:szCs w:val="24"/>
        </w:rPr>
      </w:pPr>
      <w:r>
        <w:rPr>
          <w:rFonts w:ascii="Times New Roman" w:hAnsi="Times New Roman"/>
          <w:color w:val="000000"/>
          <w:sz w:val="24"/>
          <w:szCs w:val="24"/>
        </w:rPr>
        <w:t>Оценки трех экспертов агрегируются по каждому проекту и критерию. В скорректированном варианте ожидаемая компонента m определяется как среднее арифметическое оценок экспертов. Далее значения нормализуются, чтобы привести критерии к сопоставимому масштабу, и умножаются на веса критериев.</w:t>
      </w:r>
    </w:p>
    <w:p>
      <w:pPr>
        <w:pStyle w:val="Heading2"/>
        <w:rPr>
          <w:rFonts w:ascii="Times New Roman" w:hAnsi="Times New Roman"/>
          <w:color w:val="000000"/>
          <w:sz w:val="24"/>
          <w:szCs w:val="24"/>
        </w:rPr>
      </w:pPr>
      <w:r>
        <w:rPr>
          <w:rFonts w:ascii="Times New Roman" w:hAnsi="Times New Roman"/>
          <w:color w:val="000000"/>
          <w:sz w:val="24"/>
          <w:szCs w:val="24"/>
        </w:rPr>
        <w:t>Этапы расчета</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Формируется матрица оценок четырех проектов по четырем критериям.</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Индивидуальные трехточечные оценки экспертов объединяются в групповую оценку.</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Значения нормализуются, после чего учитываются веса критериев.</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Определяются нечеткие положительное и отрицательное идеальные решения: FPIS и FNIS.</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Для каждой альтернативы рассчитываются расстояния до обоих идеалов.</w:t>
      </w:r>
    </w:p>
    <w:p>
      <w:pPr>
        <w:pStyle w:val="ListNumber"/>
        <w:numPr>
          <w:ilvl w:val="0"/>
          <w:numId w:val="4"/>
        </w:numPr>
        <w:spacing w:before="0" w:after="60"/>
        <w:ind w:hanging="198" w:start="397"/>
        <w:contextualSpacing/>
        <w:rPr>
          <w:rFonts w:ascii="Times New Roman" w:hAnsi="Times New Roman"/>
          <w:color w:val="000000"/>
          <w:sz w:val="24"/>
          <w:szCs w:val="24"/>
        </w:rPr>
      </w:pPr>
      <w:r>
        <w:rPr>
          <w:rFonts w:ascii="Times New Roman" w:hAnsi="Times New Roman"/>
          <w:color w:val="000000"/>
          <w:sz w:val="24"/>
          <w:szCs w:val="24"/>
        </w:rPr>
        <w:t>Вычисляется коэффициент близости: CC = d− / (d− + d+). Чем больше CC, тем выше место проекта.</w:t>
      </w:r>
      <w:r>
        <w:br w:type="page"/>
      </w:r>
    </w:p>
    <w:p>
      <w:pPr>
        <w:pStyle w:val="ListNumber"/>
        <w:numPr>
          <w:ilvl w:val="0"/>
          <w:numId w:val="0"/>
        </w:numPr>
        <w:spacing w:before="0" w:after="60"/>
        <w:ind w:hanging="0" w:start="397"/>
        <w:contextualSpacing/>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32"/>
          <w:szCs w:val="32"/>
        </w:rPr>
      </w:pPr>
      <w:r>
        <w:rPr>
          <w:rFonts w:ascii="Times New Roman" w:hAnsi="Times New Roman"/>
          <w:color w:val="000000"/>
          <w:sz w:val="32"/>
          <w:szCs w:val="32"/>
        </w:rPr>
        <w:t>Метод анализа иерархий</w:t>
      </w:r>
    </w:p>
    <w:p>
      <w:pPr>
        <w:pStyle w:val="Heading2"/>
        <w:rPr>
          <w:rFonts w:ascii="Times New Roman" w:hAnsi="Times New Roman"/>
          <w:color w:val="000000"/>
          <w:sz w:val="24"/>
          <w:szCs w:val="24"/>
        </w:rPr>
      </w:pPr>
      <w:r>
        <w:rPr>
          <w:rFonts w:ascii="Times New Roman" w:hAnsi="Times New Roman"/>
          <w:color w:val="000000"/>
          <w:sz w:val="24"/>
          <w:szCs w:val="24"/>
        </w:rPr>
        <w:t>Основная идея</w:t>
      </w:r>
    </w:p>
    <w:p>
      <w:pPr>
        <w:pStyle w:val="Normal"/>
        <w:jc w:val="both"/>
        <w:rPr>
          <w:rFonts w:ascii="Times New Roman" w:hAnsi="Times New Roman"/>
          <w:color w:val="000000"/>
          <w:sz w:val="24"/>
          <w:szCs w:val="24"/>
        </w:rPr>
      </w:pPr>
      <w:r>
        <w:rPr>
          <w:rFonts w:ascii="Times New Roman" w:hAnsi="Times New Roman"/>
          <w:color w:val="000000"/>
          <w:sz w:val="24"/>
          <w:szCs w:val="24"/>
        </w:rPr>
        <w:t>Метод анализа иерархий представляет задачу в виде уровней: цель, критерии и альтернативы. Вместо непосредственного назначения весов эксперт последовательно сравнивает элементы попарно: насколько один критерий важнее другого или насколько один проект предпочтительнее другого по конкретному критерию. Из матриц сравнений рассчитываются нормированные векторы приоритетов.</w:t>
      </w:r>
    </w:p>
    <w:p>
      <w:pPr>
        <w:pStyle w:val="Heading2"/>
        <w:rPr>
          <w:rFonts w:ascii="Times New Roman" w:hAnsi="Times New Roman"/>
          <w:color w:val="000000"/>
          <w:sz w:val="24"/>
          <w:szCs w:val="24"/>
        </w:rPr>
      </w:pPr>
      <w:r>
        <w:rPr>
          <w:rFonts w:ascii="Times New Roman" w:hAnsi="Times New Roman"/>
          <w:color w:val="000000"/>
          <w:sz w:val="24"/>
          <w:szCs w:val="24"/>
        </w:rPr>
        <w:t>Расчет приоритетов</w:t>
      </w:r>
    </w:p>
    <w:p>
      <w:pPr>
        <w:pStyle w:val="Normal"/>
        <w:jc w:val="both"/>
        <w:rPr>
          <w:rFonts w:ascii="Times New Roman" w:hAnsi="Times New Roman"/>
          <w:color w:val="000000"/>
          <w:sz w:val="24"/>
          <w:szCs w:val="24"/>
        </w:rPr>
      </w:pPr>
      <w:r>
        <w:rPr>
          <w:rFonts w:ascii="Times New Roman" w:hAnsi="Times New Roman"/>
          <w:color w:val="000000"/>
          <w:sz w:val="24"/>
          <w:szCs w:val="24"/>
        </w:rPr>
        <w:t>Сначала для каждого эксперта рассчитываются веса критериев. Затем по каждому критерию определяются локальные приоритеты четырех проектов. Итоговый приоритет проекта S получается как сумма его локальных приоритетов, умноженных на веса соответствующих критериев. Чем больше S, тем выше итоговая предпочтительность альтернативы.</w:t>
      </w:r>
    </w:p>
    <w:p>
      <w:pPr>
        <w:pStyle w:val="Heading2"/>
        <w:rPr>
          <w:rFonts w:ascii="Times New Roman" w:hAnsi="Times New Roman"/>
          <w:color w:val="000000"/>
          <w:sz w:val="24"/>
          <w:szCs w:val="24"/>
        </w:rPr>
      </w:pPr>
      <w:r>
        <w:rPr>
          <w:rFonts w:ascii="Times New Roman" w:hAnsi="Times New Roman"/>
          <w:color w:val="000000"/>
          <w:sz w:val="24"/>
          <w:szCs w:val="24"/>
        </w:rPr>
        <w:t>Проверка согласованности</w:t>
      </w:r>
    </w:p>
    <w:p>
      <w:pPr>
        <w:pStyle w:val="Normal"/>
        <w:jc w:val="both"/>
        <w:rPr>
          <w:rFonts w:ascii="Times New Roman" w:hAnsi="Times New Roman"/>
          <w:color w:val="000000"/>
          <w:sz w:val="24"/>
          <w:szCs w:val="24"/>
        </w:rPr>
      </w:pPr>
      <w:r>
        <w:rPr>
          <w:rFonts w:ascii="Times New Roman" w:hAnsi="Times New Roman"/>
          <w:color w:val="000000"/>
          <w:sz w:val="24"/>
          <w:szCs w:val="24"/>
        </w:rPr>
        <w:t>Парные сравнения могут содержать логические противоречия. Например, если С1 важнее С2, а С2 важнее С3, то суждение о сильном превосходстве С3 над С1 требует повторной проверки. Для контроля рассчитываются максимальное собственное число, индекс согласованности CI и отношение согласованности CR = CI / RI. В работе используется условие CR ≤ 0,10.</w:t>
      </w:r>
    </w:p>
    <w:p>
      <w:pPr>
        <w:pStyle w:val="Heading1"/>
        <w:rPr>
          <w:rFonts w:ascii="Times New Roman" w:hAnsi="Times New Roman"/>
          <w:color w:val="000000"/>
          <w:sz w:val="32"/>
          <w:szCs w:val="32"/>
        </w:rPr>
      </w:pPr>
      <w:r>
        <w:rPr>
          <w:rFonts w:ascii="Times New Roman" w:hAnsi="Times New Roman"/>
          <w:color w:val="000000"/>
          <w:sz w:val="32"/>
          <w:szCs w:val="32"/>
        </w:rPr>
        <w:t>Организация экспертной оценки</w:t>
      </w:r>
    </w:p>
    <w:p>
      <w:pPr>
        <w:pStyle w:val="Normal"/>
        <w:jc w:val="both"/>
        <w:rPr>
          <w:rFonts w:ascii="Times New Roman" w:hAnsi="Times New Roman"/>
          <w:color w:val="000000"/>
          <w:sz w:val="24"/>
          <w:szCs w:val="24"/>
        </w:rPr>
      </w:pPr>
      <w:r>
        <w:rPr>
          <w:rFonts w:ascii="Times New Roman" w:hAnsi="Times New Roman"/>
          <w:color w:val="000000"/>
          <w:sz w:val="24"/>
          <w:szCs w:val="24"/>
        </w:rPr>
        <w:t>Каждый из трех участников выступает самостоятельным экспертом. На этапе индивидуального оценивания важно не обсуждать конкретные числа до фиксации первоначального мнения, иначе оценки могут потерять независимость. После расчета показателей согласованности допускается обсуждение противоречий и повторное подтверждение измененных значений.</w:t>
      </w:r>
    </w:p>
    <w:p>
      <w:pPr>
        <w:pStyle w:val="Normal"/>
        <w:rPr>
          <w:rFonts w:ascii="Times New Roman" w:hAnsi="Times New Roman"/>
          <w:color w:val="000000"/>
          <w:sz w:val="24"/>
          <w:szCs w:val="24"/>
        </w:rPr>
      </w:pPr>
      <w:r>
        <w:rPr>
          <w:rFonts w:ascii="Times New Roman" w:hAnsi="Times New Roman"/>
          <w:color w:val="000000"/>
          <w:sz w:val="24"/>
          <w:szCs w:val="24"/>
        </w:rPr>
      </w:r>
    </w:p>
    <w:p>
      <w:pPr>
        <w:pStyle w:val="Heading2"/>
        <w:rPr>
          <w:rFonts w:ascii="Times New Roman" w:hAnsi="Times New Roman"/>
          <w:color w:val="000000"/>
          <w:sz w:val="24"/>
          <w:szCs w:val="24"/>
        </w:rPr>
      </w:pPr>
      <w:r>
        <w:rPr>
          <w:rFonts w:ascii="Times New Roman" w:hAnsi="Times New Roman"/>
          <w:color w:val="000000"/>
          <w:sz w:val="24"/>
          <w:szCs w:val="24"/>
        </w:rPr>
        <w:t>Групповая согласованность</w:t>
      </w:r>
    </w:p>
    <w:p>
      <w:pPr>
        <w:pStyle w:val="Normal"/>
        <w:jc w:val="both"/>
        <w:rPr>
          <w:rFonts w:ascii="Times New Roman" w:hAnsi="Times New Roman"/>
          <w:color w:val="000000"/>
          <w:sz w:val="24"/>
          <w:szCs w:val="24"/>
        </w:rPr>
      </w:pPr>
      <w:r>
        <w:rPr>
          <w:rFonts w:ascii="Times New Roman" w:hAnsi="Times New Roman"/>
          <w:color w:val="000000"/>
          <w:sz w:val="24"/>
          <w:szCs w:val="24"/>
        </w:rPr>
        <w:t>После объединения мнений трех экспертов групповые матрицы также удовлетворяют принятому порогу. Следовательно, групповые веса и приоритеты могут быть использованы для итогового ранжирования в рамках принятой расчетной схемы.</w:t>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24"/>
        <w:gridCol w:w="3324"/>
        <w:gridCol w:w="3324"/>
      </w:tblGrid>
      <w:tr>
        <w:trPr>
          <w:cantSplit/>
        </w:trPr>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Групповая матрица</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CR</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Результат</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Критерии</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0,0402</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Согласовано</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Альтернативы по С1</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0,0286</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Согласовано</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Альтернативы по С2</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0,0147</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Согласовано</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Альтернативы по С3</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0,0149</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Согласовано</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Альтернативы по С4</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0,0143</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Согласовано</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4"/>
          <w:szCs w:val="24"/>
        </w:rPr>
      </w:pPr>
      <w:r>
        <w:rPr>
          <w:rFonts w:ascii="Times New Roman" w:hAnsi="Times New Roman"/>
          <w:color w:val="000000"/>
          <w:sz w:val="24"/>
          <w:szCs w:val="24"/>
        </w:rPr>
        <w:t>Результаты TOPSIS</w:t>
      </w:r>
    </w:p>
    <w:p>
      <w:pPr>
        <w:pStyle w:val="Normal"/>
        <w:jc w:val="both"/>
        <w:rPr>
          <w:rFonts w:ascii="Times New Roman" w:hAnsi="Times New Roman"/>
          <w:color w:val="000000"/>
          <w:sz w:val="24"/>
          <w:szCs w:val="24"/>
        </w:rPr>
      </w:pPr>
      <w:r>
        <w:rPr>
          <w:rFonts w:ascii="Times New Roman" w:hAnsi="Times New Roman"/>
          <w:color w:val="000000"/>
          <w:sz w:val="24"/>
          <w:szCs w:val="24"/>
        </w:rPr>
        <w:t>Наилучший результат по TOPSIS получила концепция «Аудитории» с коэффициентом близости 0,7568. Второе место заняла концепция «Посещаемость» с результатом 0,7113. «СтудАктив» расположился на третьем месте, а «Мой рейтинг» — на четвертом.</w:t>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24"/>
        <w:gridCol w:w="3324"/>
        <w:gridCol w:w="3324"/>
      </w:tblGrid>
      <w:tr>
        <w:trPr>
          <w:cantSplit/>
        </w:trPr>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Место</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Концепция</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CC</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1</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Аудитории</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0,7568</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2</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Посещаемость</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0,7113</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3</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СтудАктив</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0,4192</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4</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Мой рейтинг</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0,1461</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Normal"/>
        <w:jc w:val="both"/>
        <w:rPr>
          <w:rFonts w:ascii="Times New Roman" w:hAnsi="Times New Roman"/>
          <w:color w:val="000000"/>
          <w:sz w:val="24"/>
          <w:szCs w:val="24"/>
        </w:rPr>
      </w:pPr>
      <w:r>
        <w:rPr>
          <w:rFonts w:ascii="Times New Roman" w:hAnsi="Times New Roman"/>
          <w:color w:val="000000"/>
          <w:sz w:val="24"/>
          <w:szCs w:val="24"/>
        </w:rPr>
        <w:t>Разница между двумя лидерами меньше, чем отрыв второго места от третьего. Это означает, что обе ведущие концепции выглядят конкурентоспособными в рамках TOPSIS, но «Аудитории» имеет более выгодное совокупное положение относительно идеальных решений.</w:t>
      </w:r>
    </w:p>
    <w:p>
      <w:pPr>
        <w:pStyle w:val="Heading1"/>
        <w:rPr>
          <w:rFonts w:ascii="Times New Roman" w:hAnsi="Times New Roman"/>
          <w:color w:val="000000"/>
          <w:sz w:val="24"/>
          <w:szCs w:val="24"/>
        </w:rPr>
      </w:pPr>
      <w:r>
        <w:rPr>
          <w:rFonts w:ascii="Times New Roman" w:hAnsi="Times New Roman"/>
          <w:color w:val="000000"/>
          <w:sz w:val="24"/>
          <w:szCs w:val="24"/>
        </w:rPr>
        <w:t>Результаты МАИ</w:t>
      </w:r>
    </w:p>
    <w:p>
      <w:pPr>
        <w:pStyle w:val="Normal"/>
        <w:jc w:val="both"/>
        <w:rPr>
          <w:rFonts w:ascii="Times New Roman" w:hAnsi="Times New Roman"/>
          <w:color w:val="000000"/>
          <w:sz w:val="24"/>
          <w:szCs w:val="24"/>
        </w:rPr>
      </w:pPr>
      <w:r>
        <w:rPr>
          <w:rFonts w:ascii="Times New Roman" w:hAnsi="Times New Roman"/>
          <w:color w:val="000000"/>
          <w:sz w:val="24"/>
          <w:szCs w:val="24"/>
        </w:rPr>
        <w:t>Метод анализа иерархий также вывел на первое место концепцию «Аудитории». Ее итоговый приоритет составил 0,3178; далее расположились «Посещаемость», «СтудАктив» и «Мой рейтинг».</w:t>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24"/>
        <w:gridCol w:w="3324"/>
        <w:gridCol w:w="3324"/>
      </w:tblGrid>
      <w:tr>
        <w:trPr>
          <w:cantSplit/>
        </w:trPr>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Место</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Концепция</w:t>
            </w:r>
          </w:p>
        </w:tc>
        <w:tc>
          <w:tcPr>
            <w:tcW w:w="3324"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lang w:val="en-US" w:eastAsia="en-US" w:bidi="ar-SA"/>
              </w:rPr>
            </w:pPr>
            <w:r>
              <w:rPr>
                <w:rFonts w:eastAsia="Times New Roman" w:cs="" w:ascii="Times New Roman" w:hAnsi="Times New Roman"/>
                <w:b/>
                <w:color w:val="FFFFFF"/>
                <w:kern w:val="0"/>
                <w:sz w:val="24"/>
                <w:szCs w:val="24"/>
                <w:lang w:val="en-US" w:eastAsia="en-US" w:bidi="ar-SA"/>
              </w:rPr>
              <w:t>Итоговый приоритет S</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1</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Аудитории</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0,3178</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2</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Посещаемость</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0,2867</w:t>
            </w:r>
          </w:p>
        </w:tc>
      </w:tr>
      <w:tr>
        <w:trPr>
          <w:cantSplit/>
        </w:trPr>
        <w:tc>
          <w:tcPr>
            <w:tcW w:w="3324"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3</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СтудАктив</w:t>
            </w:r>
          </w:p>
        </w:tc>
        <w:tc>
          <w:tcPr>
            <w:tcW w:w="3324"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0,2170</w:t>
            </w:r>
          </w:p>
        </w:tc>
      </w:tr>
      <w:tr>
        <w:trPr>
          <w:cantSplit/>
        </w:trPr>
        <w:tc>
          <w:tcPr>
            <w:tcW w:w="3324"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4</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Мой рейтинг</w:t>
            </w:r>
          </w:p>
        </w:tc>
        <w:tc>
          <w:tcPr>
            <w:tcW w:w="3324"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0,1784</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4"/>
          <w:szCs w:val="24"/>
        </w:rPr>
      </w:pPr>
      <w:r>
        <w:rPr>
          <w:rFonts w:ascii="Times New Roman" w:hAnsi="Times New Roman"/>
          <w:color w:val="000000"/>
          <w:sz w:val="24"/>
          <w:szCs w:val="24"/>
        </w:rPr>
        <w:t>Сопоставление результатов</w:t>
      </w:r>
    </w:p>
    <w:tbl>
      <w:tblPr>
        <w:tblStyle w:val="TableGrid"/>
        <w:tblW w:w="99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3"/>
        <w:gridCol w:w="2493"/>
        <w:gridCol w:w="2493"/>
        <w:gridCol w:w="2493"/>
      </w:tblGrid>
      <w:tr>
        <w:trPr>
          <w:cantSplit/>
        </w:trPr>
        <w:tc>
          <w:tcPr>
            <w:tcW w:w="2493"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highlight w:val="none"/>
                <w:shd w:fill="auto" w:val="clear"/>
                <w:lang w:val="en-US" w:eastAsia="en-US" w:bidi="ar-SA"/>
              </w:rPr>
            </w:pPr>
            <w:r>
              <w:rPr>
                <w:rFonts w:eastAsia="Times New Roman" w:cs="" w:ascii="Times New Roman" w:hAnsi="Times New Roman"/>
                <w:b/>
                <w:color w:val="FFFFFF"/>
                <w:kern w:val="0"/>
                <w:sz w:val="24"/>
                <w:szCs w:val="24"/>
                <w:shd w:fill="auto" w:val="clear"/>
                <w:lang w:val="en-US" w:eastAsia="en-US" w:bidi="ar-SA"/>
              </w:rPr>
              <w:t>Концепция</w:t>
            </w:r>
          </w:p>
        </w:tc>
        <w:tc>
          <w:tcPr>
            <w:tcW w:w="2493"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highlight w:val="none"/>
                <w:shd w:fill="auto" w:val="clear"/>
                <w:lang w:val="en-US" w:eastAsia="en-US" w:bidi="ar-SA"/>
              </w:rPr>
            </w:pPr>
            <w:r>
              <w:rPr>
                <w:rFonts w:eastAsia="Times New Roman" w:cs="" w:ascii="Times New Roman" w:hAnsi="Times New Roman"/>
                <w:b/>
                <w:color w:val="FFFFFF"/>
                <w:kern w:val="0"/>
                <w:sz w:val="24"/>
                <w:szCs w:val="24"/>
                <w:shd w:fill="auto" w:val="clear"/>
                <w:lang w:val="en-US" w:eastAsia="en-US" w:bidi="ar-SA"/>
              </w:rPr>
              <w:t>Место TOPSIS</w:t>
            </w:r>
          </w:p>
        </w:tc>
        <w:tc>
          <w:tcPr>
            <w:tcW w:w="2493"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highlight w:val="none"/>
                <w:shd w:fill="auto" w:val="clear"/>
                <w:lang w:val="en-US" w:eastAsia="en-US" w:bidi="ar-SA"/>
              </w:rPr>
            </w:pPr>
            <w:r>
              <w:rPr>
                <w:rFonts w:eastAsia="Times New Roman" w:cs="" w:ascii="Times New Roman" w:hAnsi="Times New Roman"/>
                <w:b/>
                <w:color w:val="FFFFFF"/>
                <w:kern w:val="0"/>
                <w:sz w:val="24"/>
                <w:szCs w:val="24"/>
                <w:shd w:fill="auto" w:val="clear"/>
                <w:lang w:val="en-US" w:eastAsia="en-US" w:bidi="ar-SA"/>
              </w:rPr>
              <w:t>Место МАИ</w:t>
            </w:r>
          </w:p>
        </w:tc>
        <w:tc>
          <w:tcPr>
            <w:tcW w:w="2493" w:type="dxa"/>
            <w:tcBorders/>
            <w:shd w:fill="1F4E79" w:val="clear"/>
            <w:vAlign w:val="center"/>
          </w:tcPr>
          <w:p>
            <w:pPr>
              <w:pStyle w:val="Normal"/>
              <w:widowControl/>
              <w:spacing w:lineRule="auto" w:line="240" w:before="0" w:after="0"/>
              <w:jc w:val="center"/>
              <w:rPr>
                <w:rFonts w:ascii="Times New Roman" w:hAnsi="Times New Roman" w:cs=""/>
                <w:color w:val="FFFFFF"/>
                <w:kern w:val="0"/>
                <w:sz w:val="24"/>
                <w:szCs w:val="24"/>
                <w:highlight w:val="none"/>
                <w:shd w:fill="auto" w:val="clear"/>
                <w:lang w:val="en-US" w:eastAsia="en-US" w:bidi="ar-SA"/>
              </w:rPr>
            </w:pPr>
            <w:r>
              <w:rPr>
                <w:rFonts w:eastAsia="Times New Roman" w:cs="" w:ascii="Times New Roman" w:hAnsi="Times New Roman"/>
                <w:b/>
                <w:color w:val="FFFFFF"/>
                <w:kern w:val="0"/>
                <w:sz w:val="24"/>
                <w:szCs w:val="24"/>
                <w:shd w:fill="auto" w:val="clear"/>
                <w:lang w:val="en-US" w:eastAsia="en-US" w:bidi="ar-SA"/>
              </w:rPr>
              <w:t>Совпадение</w:t>
            </w:r>
          </w:p>
        </w:tc>
      </w:tr>
      <w:tr>
        <w:trPr>
          <w:cantSplit/>
        </w:trPr>
        <w:tc>
          <w:tcPr>
            <w:tcW w:w="2493"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Аудитории</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1</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1</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Да</w:t>
            </w:r>
          </w:p>
        </w:tc>
      </w:tr>
      <w:tr>
        <w:trPr>
          <w:cantSplit/>
        </w:trPr>
        <w:tc>
          <w:tcPr>
            <w:tcW w:w="2493"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Посещаемость</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2</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2</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Да</w:t>
            </w:r>
          </w:p>
        </w:tc>
      </w:tr>
      <w:tr>
        <w:trPr>
          <w:cantSplit/>
        </w:trPr>
        <w:tc>
          <w:tcPr>
            <w:tcW w:w="2493" w:type="dxa"/>
            <w:tcBorders/>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СтудАктив</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3</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3</w:t>
            </w:r>
          </w:p>
        </w:tc>
        <w:tc>
          <w:tcPr>
            <w:tcW w:w="2493" w:type="dxa"/>
            <w:tcBorders/>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Да</w:t>
            </w:r>
          </w:p>
        </w:tc>
      </w:tr>
      <w:tr>
        <w:trPr>
          <w:cantSplit/>
        </w:trPr>
        <w:tc>
          <w:tcPr>
            <w:tcW w:w="2493" w:type="dxa"/>
            <w:tcBorders/>
            <w:shd w:fill="EAF2F8" w:val="clear"/>
            <w:vAlign w:val="center"/>
          </w:tcPr>
          <w:p>
            <w:pPr>
              <w:pStyle w:val="Normal"/>
              <w:widowControl/>
              <w:spacing w:lineRule="auto" w:line="240" w:before="0" w:after="0"/>
              <w:jc w:val="start"/>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Мой рейтинг</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4</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4</w:t>
            </w:r>
          </w:p>
        </w:tc>
        <w:tc>
          <w:tcPr>
            <w:tcW w:w="2493" w:type="dxa"/>
            <w:tcBorders/>
            <w:shd w:fill="EAF2F8" w:val="clear"/>
            <w:vAlign w:val="center"/>
          </w:tcPr>
          <w:p>
            <w:pPr>
              <w:pStyle w:val="Normal"/>
              <w:widowControl/>
              <w:spacing w:lineRule="auto" w:line="240" w:before="0" w:after="0"/>
              <w:jc w:val="center"/>
              <w:rPr>
                <w:rFonts w:ascii="Times New Roman" w:hAnsi="Times New Roman" w:cs=""/>
                <w:color w:val="000000"/>
                <w:kern w:val="0"/>
                <w:sz w:val="24"/>
                <w:szCs w:val="24"/>
                <w:lang w:val="en-US" w:eastAsia="en-US" w:bidi="ar-SA"/>
              </w:rPr>
            </w:pPr>
            <w:r>
              <w:rPr>
                <w:rFonts w:eastAsia="Times New Roman" w:cs="" w:ascii="Times New Roman" w:hAnsi="Times New Roman"/>
                <w:b w:val="false"/>
                <w:color w:val="000000"/>
                <w:kern w:val="0"/>
                <w:sz w:val="24"/>
                <w:szCs w:val="24"/>
                <w:lang w:val="en-US" w:eastAsia="en-US" w:bidi="ar-SA"/>
              </w:rPr>
              <w:t>Да</w:t>
            </w:r>
          </w:p>
        </w:tc>
      </w:tr>
    </w:tbl>
    <w:p>
      <w:pPr>
        <w:pStyle w:val="Normal"/>
        <w:spacing w:before="0" w:after="0"/>
        <w:rPr>
          <w:rFonts w:ascii="Times New Roman" w:hAnsi="Times New Roman"/>
          <w:color w:val="000000"/>
          <w:sz w:val="24"/>
          <w:szCs w:val="24"/>
        </w:rPr>
      </w:pPr>
      <w:r>
        <w:rPr>
          <w:rFonts w:ascii="Times New Roman" w:hAnsi="Times New Roman"/>
          <w:color w:val="000000"/>
          <w:sz w:val="24"/>
          <w:szCs w:val="24"/>
        </w:rPr>
      </w:r>
    </w:p>
    <w:p>
      <w:pPr>
        <w:pStyle w:val="Normal"/>
        <w:jc w:val="both"/>
        <w:rPr>
          <w:rFonts w:ascii="Times New Roman" w:hAnsi="Times New Roman"/>
          <w:color w:val="000000"/>
          <w:sz w:val="24"/>
          <w:szCs w:val="24"/>
        </w:rPr>
      </w:pPr>
      <w:r>
        <w:rPr>
          <w:rFonts w:ascii="Times New Roman" w:hAnsi="Times New Roman"/>
          <w:color w:val="000000"/>
          <w:sz w:val="24"/>
          <w:szCs w:val="24"/>
        </w:rPr>
        <w:t>Порядок альтернатив полностью совпал. Коэффициент ранговой корреляции Спирмена равен 1, что соответствует полному совпадению рангов. Это подтверждает устойчивость порядка проектов к использованию двух выбранных методов.</w:t>
      </w:r>
    </w:p>
    <w:p>
      <w:pPr>
        <w:pStyle w:val="Heading1"/>
        <w:rPr>
          <w:rFonts w:ascii="Times New Roman" w:hAnsi="Times New Roman"/>
          <w:color w:val="000000"/>
          <w:sz w:val="24"/>
          <w:szCs w:val="24"/>
        </w:rPr>
      </w:pPr>
      <w:r>
        <w:rPr>
          <w:rFonts w:ascii="Times New Roman" w:hAnsi="Times New Roman"/>
          <w:color w:val="000000"/>
          <w:sz w:val="24"/>
          <w:szCs w:val="24"/>
        </w:rPr>
        <w:t>Итоговый вывод</w:t>
      </w:r>
    </w:p>
    <w:p>
      <w:pPr>
        <w:pStyle w:val="Normal"/>
        <w:jc w:val="both"/>
        <w:rPr>
          <w:rFonts w:ascii="Times New Roman" w:hAnsi="Times New Roman"/>
          <w:color w:val="000000"/>
          <w:sz w:val="24"/>
          <w:szCs w:val="24"/>
        </w:rPr>
      </w:pPr>
      <w:r>
        <w:rPr>
          <w:rFonts w:ascii="Times New Roman" w:hAnsi="Times New Roman"/>
          <w:color w:val="000000"/>
          <w:sz w:val="24"/>
          <w:szCs w:val="24"/>
        </w:rPr>
        <w:t>По результатам коллективной многокритериальной оценки для дальнейшей разработки рекомендуется выбрать концепцию «Аудитории — бронирование аудиторий и оборудования». Она заняла первое место одновременно по TOPSIS и МАИ, получив максимальные значения CC = 0,7568 и S = 0,3178.</w:t>
      </w:r>
    </w:p>
    <w:p>
      <w:pPr>
        <w:pStyle w:val="Normal"/>
        <w:jc w:val="both"/>
        <w:rPr>
          <w:rFonts w:ascii="Times New Roman" w:hAnsi="Times New Roman"/>
          <w:color w:val="000000"/>
          <w:sz w:val="24"/>
          <w:szCs w:val="24"/>
        </w:rPr>
      </w:pPr>
      <w:r>
        <w:rPr>
          <w:rFonts w:ascii="Times New Roman" w:hAnsi="Times New Roman"/>
          <w:color w:val="000000"/>
          <w:sz w:val="24"/>
          <w:szCs w:val="24"/>
        </w:rPr>
        <w:t>Концепцию «Посещаемость — QR-отметка на занятиях» целесообразно сохранить как резервный вариант: она занимает второе место в обоих расчетах и находится сравнительно близко к лидеру по TOPSIS. «СтудАктив» и «Мой рейтинг» не рекомендуется выбирать в качестве основной концепции на данном этапе, поскольку они устойчиво занимают третье и четвертое места.</w:t>
      </w:r>
    </w:p>
    <w:p>
      <w:pPr>
        <w:pStyle w:val="Normal"/>
        <w:jc w:val="both"/>
        <w:rPr>
          <w:rFonts w:ascii="Times New Roman" w:hAnsi="Times New Roman"/>
          <w:color w:val="000000"/>
          <w:sz w:val="24"/>
          <w:szCs w:val="24"/>
        </w:rPr>
      </w:pPr>
      <w:r>
        <w:rPr>
          <w:rFonts w:ascii="Times New Roman" w:hAnsi="Times New Roman"/>
          <w:color w:val="000000"/>
          <w:sz w:val="24"/>
          <w:szCs w:val="24"/>
        </w:rPr>
        <w:t>Полученный результат следует трактовать как обоснованную рекомендацию в рамках зафиксированных критериев, оценок и весов. Перед началом разработки основной концепции целесообразно уточнить роли пользователей, правила бронирования, механизм разрешения конфликтов и минимальный объем первой версии.</w:t>
      </w:r>
    </w:p>
    <w:p>
      <w:pPr>
        <w:pStyle w:val="Normal"/>
        <w:spacing w:before="0" w:after="0"/>
        <w:rPr>
          <w:i/>
        </w:rPr>
      </w:pPr>
      <w:r>
        <w:rPr>
          <w:rFonts w:ascii="Times New Roman" w:hAnsi="Times New Roman"/>
          <w:color w:val="000000"/>
          <w:sz w:val="24"/>
          <w:szCs w:val="24"/>
        </w:rPr>
      </w:r>
    </w:p>
    <w:sectPr>
      <w:footerReference w:type="even" r:id="rId2"/>
      <w:footerReference w:type="default" r:id="rId3"/>
      <w:footerReference w:type="first" r:id="rId4"/>
      <w:type w:val="nextPage"/>
      <w:pgSz w:w="12240" w:h="15840"/>
      <w:pgMar w:left="1417"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8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pPr>
      <w:suppressLineNumbers/>
    </w:pPr>
    <w:rPr>
      <w:rFonts w:cs="Arial"/>
    </w:rPr>
  </w:style>
  <w:style w:type="paragraph" w:styleId="Style7">
    <w:name w:val="Колонтитулы"/>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LibreOffice/26.8.1.1$Windows_X86_64 LibreOffice_project/bf6ef2662401c7d6dce671ab4deb26ee0af3a7c1</Application>
  <AppVersion>15.0000</AppVersion>
  <Pages>8</Pages>
  <Words>1223</Words>
  <Characters>8861</Characters>
  <CharactersWithSpaces>9939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2026-10-17T23:47:49Z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