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b/>
          <w:bCs/>
          <w:sz w:val="20"/>
          <w:szCs w:val="20"/>
        </w:rPr>
        <w:t xml:space="preserve">TEACHER COPY — NOT FOR STUDENT DISTRIBUTION</w:t>
      </w:r>
    </w:p>
    <w:p>
      <w:pPr>
        <w:pStyle w:val="Heading1"/>
        <w:spacing w:after="160" w:before="240"/>
      </w:pPr>
      <w:r>
        <w:t xml:space="preserve">Practice SAC — marking guide</w:t>
      </w:r>
    </w:p>
    <w:p>
      <w:pPr>
        <w:spacing w:after="120" w:line="276"/>
      </w:pPr>
      <w:r>
        <w:rPr>
          <w:i/>
          <w:iCs/>
          <w:sz w:val="22"/>
          <w:szCs w:val="22"/>
        </w:rPr>
        <w:t xml:space="preserve">Wattle Health Collective · Unit 4 Area of Study 2 · 50 marks</w:t>
      </w:r>
    </w:p>
    <w:p>
      <w:pPr>
        <w:spacing w:after="120" w:line="276"/>
      </w:pPr>
      <w:r>
        <w:rPr>
          <w:sz w:val="22"/>
          <w:szCs w:val="22"/>
        </w:rPr>
        <w:t xml:space="preserve">Award one mark per distinct, correct point unless stated otherwise. Points below are indicative, not exhaustive — credit any defensible answer grounded in the case study. Answers that are technically correct but not anchored to Wattle Health should be capped at half marks for that question.</w:t>
      </w:r>
    </w:p>
    <w:p>
      <w:pPr>
        <w:pStyle w:val="Heading2"/>
        <w:spacing w:after="120" w:before="220"/>
      </w:pPr>
      <w:r>
        <w:t xml:space="preserve">Section A — Analysing practices (8)</w:t>
      </w:r>
    </w:p>
    <w:p>
      <w:pPr>
        <w:pStyle w:val="Heading3"/>
        <w:spacing w:after="100" w:before="180"/>
      </w:pPr>
      <w:r>
        <w:t xml:space="preserve">A1  (4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Version control: a hosted repository is used, so code is under version control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But all five people including the former contractor hold administrator rights, so permissions are not proportionate to role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Identity and access management: production is reached through a single shared devadmin account, so no action can be attributed to an individual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password has not changed since 2021 and is pinned in group chat; MFA is not enabled anywhere (1).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Award for description, not evaluation. Students who write only "their access management is bad" without naming the practice score 0 for that point.</w:t>
      </w:r>
    </w:p>
    <w:p>
      <w:pPr>
        <w:pStyle w:val="Heading3"/>
        <w:spacing w:after="100" w:before="180"/>
      </w:pPr>
      <w:r>
        <w:t xml:space="preserve">A2  (4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Three separate cloud projects exist for development, testing and production — the environments themselves are separated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Separation is by cloud project, i.e. logical rather than physical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undermining practice: a copy of the live patient database is loaded into testing monthly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Effect: 62,000 patient records, including clinical notes, are placed in a lower-security environment, so the protection the separation was meant to provide is defeated (1).</w:t>
      </w:r>
    </w:p>
    <w:p>
      <w:pPr>
        <w:pStyle w:val="Heading2"/>
        <w:spacing w:after="120" w:before="220"/>
      </w:pPr>
      <w:r>
        <w:t xml:space="preserve">Section B — Vulnerabilities, threats and risks (12)</w:t>
      </w:r>
    </w:p>
    <w:p>
      <w:pPr>
        <w:pStyle w:val="Heading3"/>
        <w:spacing w:after="100" w:before="180"/>
      </w:pPr>
      <w:r>
        <w:t xml:space="preserve">B1  (6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Three marks per vulnerability: vulnerability named (1), plausible threat named (1), consequence specific to Wattle Health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Shared devadmin credential → credential theft or malicious insider → total access to 62,000 patient records with no attribution possible.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Contractor account still active after March → former contractor or anyone holding those credentials retains repository administrator access → unauthorised code change or source theft.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180 unmanaged dependencies, 14 months unpatched → exploitation of a published vulnerability → compromise of the application and the clinical data it serves.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Live data in testing → weaker controls in the test project → exposure of clinical records.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 MFA → a single phished password is sufficient → account takeover, as the May incident nearly demonstrated.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The consequence mark requires something specific to this organisation — patient clinical notes, Medicare numbers, 62,000 records. "Data could be stolen" is generic and does not earn the third mark.</w:t>
      </w:r>
    </w:p>
    <w:p>
      <w:pPr>
        <w:pStyle w:val="Heading3"/>
        <w:spacing w:after="100" w:before="180"/>
      </w:pPr>
      <w:r>
        <w:t xml:space="preserve">B2  (3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Phishing — a social engineering attack using a fraudulent email and a fake login page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Sign-in logging on the cloud console had never been enabled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Without authentication logs there is no record of whether the credential was used by anyone else, so the organisation cannot rule out compromise — the absence of evidence is not evidence of absence (1).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Accept "spear phishing" given the email impersonated the Head of Digital. Credit students who note this also prevents meeting any notification obligation.</w:t>
      </w:r>
    </w:p>
    <w:p>
      <w:pPr>
        <w:pStyle w:val="Heading3"/>
        <w:spacing w:after="100" w:before="180"/>
      </w:pPr>
      <w:r>
        <w:t xml:space="preserve">B3  (3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Likelihood rated high, justified by: password unchanged since 2021, shared in group chat, no MFA, and a phishing attempt already succeeded against staff in May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Consequence rated major or catastrophic, justified by: full production access to 62,000 clinical records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defensible overall rating that follows from the two components, e.g. extreme / urgent priority (1).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The rating itself is not the mark — the justification is. A student who rates it lower but defends it with evidence from the case earns full marks.</w:t>
      </w:r>
    </w:p>
    <w:p>
      <w:pPr>
        <w:pStyle w:val="Heading2"/>
        <w:spacing w:after="120" w:before="220"/>
      </w:pPr>
      <w:r>
        <w:t xml:space="preserve">Section C — Proposing and applying criteria (12)</w:t>
      </w:r>
    </w:p>
    <w:p>
      <w:pPr>
        <w:pStyle w:val="Heading3"/>
        <w:spacing w:after="100" w:before="180"/>
      </w:pPr>
      <w:r>
        <w:t xml:space="preserve">C1  (6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Three marks per criterion: a closed question answerable with evidence (1), specific data to collect (1), a measurement producing a number or comparison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Example: Does every merge into the main branch carry an approval from someone other than its author? Data: repository merge logs for the last 90 days. Measurement: count merges with a non-author approval as a percentage of all merges.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Example: Is code review applied consistently regardless of the author's seniority? Data: merge logs with author and reviewer identity. Measurement: compare the review rate for the Head of Digital against the rate for other developers.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A criterion phrased as an instruction ("all code must be reviewed") is a control, not a criterion — award 0 for that mark and note it in feedback.</w:t>
      </w:r>
    </w:p>
    <w:p>
      <w:pPr>
        <w:pStyle w:val="Heading3"/>
        <w:spacing w:after="100" w:before="180"/>
      </w:pPr>
      <w:r>
        <w:t xml:space="preserve">C2  (3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Correct measurement applied: 128 of 214 merges reviewed, approximately 60%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Judgement of partially met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Evidence attached to the judgement, including that all 86 unreviewed merges came from the Head of Digital — a consistent seniority exemption rather than random gaps (1).</w:t>
      </w:r>
    </w:p>
    <w:p>
      <w:pPr>
        <w:pStyle w:val="Heading3"/>
        <w:spacing w:after="100" w:before="180"/>
      </w:pPr>
      <w:r>
        <w:t xml:space="preserve">C3  (3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Backups do run nightly to cloud storage, so the practice partially exists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 backup has ever been restored, so there is no evidence the backups are usable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Judgement: not met or partially met — an untested backup is an assumption, not a control, and would only be discovered to have failed at the point it was needed (1).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Credit the strong observation that this is a mitigation with no confirmation evidence.</w:t>
      </w:r>
    </w:p>
    <w:p>
      <w:pPr>
        <w:pStyle w:val="Heading2"/>
        <w:spacing w:after="120" w:before="220"/>
      </w:pPr>
      <w:r>
        <w:t xml:space="preserve">Section D — Legal and ethical consequences (10)</w:t>
      </w:r>
    </w:p>
    <w:p>
      <w:pPr>
        <w:pStyle w:val="Heading3"/>
        <w:spacing w:after="100" w:before="180"/>
      </w:pPr>
      <w:r>
        <w:t xml:space="preserve">D1  (2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Privacy Act 1988 (Cwlth)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It applies both because turnover of $7.2 million exceeds the $3 million threshold and because all private health service providers are covered regardless of turnover (1).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One mark for the Act. The second mark requires a reason; award it for either route, and note the health-provider route as the stronger answer.</w:t>
      </w:r>
    </w:p>
    <w:p>
      <w:pPr>
        <w:pStyle w:val="Heading3"/>
        <w:spacing w:after="100" w:before="180"/>
      </w:pPr>
      <w:r>
        <w:t xml:space="preserve">D2  (4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Two marks per principle: principle correctly named and what it requires (1), practice at fault and consequence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APP 11 — reasonable steps to protect information: unencrypted database at rest, shared credential, no MFA, live data in testing. Consequence: notifiable data breach obligations, investigation by the Information Commissioner, penalties.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APP 8 — cross-border disclosure: patient documents and injury photographs on US-hosted storage under a contract silent on privacy. Wattle Health remains responsible for the information it sends offshore.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APP 1 — open and transparent management: privacy policy last updated 2019 and describing a discontinued service.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APP 6 — use or disclosure: clinical notes collected for treatment reused to train a triage model.</w:t>
      </w:r>
    </w:p>
    <w:p>
      <w:pPr>
        <w:pStyle w:val="Heading3"/>
        <w:spacing w:after="100" w:before="180"/>
      </w:pPr>
      <w:r>
        <w:t xml:space="preserve">D3  (4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Identifies the ethical issue as arising from the use of AI in development — specifically privacy and consent, and arguably bias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Names who is harmed: patients whose clinical notes were used to train a model, who were not asked and cannot discover it from the policy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Explains the harm beyond the legal breach: patients disclosed sensitive clinical information in a treatment relationship built on confidentiality, and had no meaningful opportunity to refuse a secondary use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Identifies a resolution: seek consent or use de-identified data, disclose the use, and audit the model's suggestions for bias with clinical oversight (1).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This is the discriminating question. If the answer only restates the APP 6 breach it has not identified an ethical issue — cap at 2 marks and give feedback naming the distinction.</w:t>
      </w:r>
    </w:p>
    <w:p>
      <w:pPr>
        <w:pStyle w:val="Heading2"/>
        <w:spacing w:after="120" w:before="220"/>
      </w:pPr>
      <w:r>
        <w:t xml:space="preserve">Section E — Recommendations (8)</w:t>
      </w:r>
    </w:p>
    <w:p>
      <w:pPr>
        <w:pStyle w:val="Heading3"/>
        <w:spacing w:after="100" w:before="180"/>
      </w:pPr>
      <w:r>
        <w:t xml:space="preserve">E1  (6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Two marks per recommendation: specific and actionable, anchored to a named finding (1); states how the organisation would know it worked, i.e. re-measurable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Enforce MFA and issue individual named accounts for production, retiring devadmin — because a shared credential unchanged since 2021 makes attribution impossible. Re-measure: percentage of accounts with MFA enabled, and zero shared credentials in 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Enforce review at the repository level so approval cannot be bypassed by seniority — because 86 unreviewed merges all came from one person. Re-measure: review coverage by author next term.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Generate anonymised test data from the production schema and stop copying live records into testing — because 62,000 clinical records are being placed in a lower-security environment. Re-measure: quarterly check that no production records exist in testing.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a dependency inventory and adopt a patching policy with a defined maximum time — because 180 libraries are unmanaged and 14 months out of 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Enable sign-in logging and write an incident response plan — because the May incident could not be investigated.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A recommendation that could have been written before reading the case ("improve security awareness") earns 0. Alignment to the Essential Eight is a legitimate and creditable framing.</w:t>
      </w:r>
    </w:p>
    <w:p>
      <w:pPr>
        <w:pStyle w:val="Heading3"/>
        <w:spacing w:after="100" w:before="180"/>
      </w:pPr>
      <w:r>
        <w:t xml:space="preserve">E2  (2 marks)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defensible first priority, most commonly MFA and the retirement of the shared credential, on the grounds that it is low cost, addresses the highest-rated risk, and closes the exact route the May incident used (1).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Names what is being deferred and why, showing the $35,000 and six-month constraint has been engaged with (1).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Marker's note: Do not require a particular answer. Award both marks for any priority that is justified on risk and cost and that explicitly defers something.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361E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2026-08-12T12:59:23.924Z</dcterms:created>
  <dcterms:modified xsi:type="dcterms:W3CDTF">2026-08-12T12:59:23.924Z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