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 w:firstLine="0" w:left="709"/>
        <w:jc w:val="left"/>
        <w:rPr>
          <w:sz w:val="24"/>
        </w:rPr>
      </w:pPr>
      <w:r>
        <w:rPr>
          <w:sz w:val="24"/>
        </w:rPr>
        <w:t>Здравствуйте, Владимир Александрович!</w:t>
      </w:r>
    </w:p>
    <w:p w14:paraId="02000000">
      <w:pPr>
        <w:pStyle w:val="Style_1"/>
        <w:ind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В данном письме постараюсь кратко описать то, что сделал за прошедшую неделю. Я перешёл к использованию функционала потерь вида:</w:t>
      </w:r>
    </w:p>
    <w:p w14:paraId="03000000">
      <w:pPr>
        <w:pStyle w:val="Style_1"/>
        <w:ind/>
        <w:jc w:val="center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L=</m:t>
          </m:r>
          <m:sSub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r</m:t>
              </m:r>
            </m:sub>
          </m:sSub>
          <m:r>
            <w:rPr>
              <w:rFonts w:ascii="Cambria Math" w:hAnsi="Cambria Math"/>
              <w:sz w:val="24"/>
            </w:rPr>
            <m:t>&lt;|</m:t>
          </m:r>
          <m:sSup>
            <m:e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R|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sSub>
            <m:e>
              <m:r>
                <w:rPr>
                  <w:rFonts w:ascii="Cambria Math" w:hAnsi="Cambria Math"/>
                  <w:sz w:val="24"/>
                </w:rPr>
                <m:t>&gt;</m:t>
              </m:r>
            </m:e>
            <m:sub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states</m:t>
              </m:r>
              <m:r>
                <w:rPr>
                  <w:rFonts w:ascii="Cambria Math" w:hAnsi="Cambria Math"/>
                  <w:sz w:val="24"/>
                </w:rPr>
                <m:t>,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batch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E</m:t>
              </m:r>
            </m:sub>
          </m:sSub>
          <m:sSub>
            <m:e>
              <m:nary>
                <m:naryPr>
                  <m:chr m:val="∑"/>
                  <m:limLoc m:val="undOvr"/>
                  <m:grow m:val="on"/>
                  <m:subHide m:val="off"/>
                  <m:supHide m:val="off"/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m=0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M-1</m:t>
                  </m:r>
                </m:sup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</m:nary>
            </m:e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</w:rPr>
            <m:t>A+</m:t>
          </m:r>
          <m:sSub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</w:rPr>
            <m:t>B,</m:t>
          </m:r>
        </m:oMath>
      </m:oMathPara>
    </w:p>
    <w:p w14:paraId="04000000">
      <w:pPr>
        <w:pStyle w:val="Style_1"/>
        <w:ind/>
        <w:jc w:val="left"/>
        <w:rPr>
          <w:sz w:val="24"/>
        </w:rPr>
      </w:pPr>
      <w:r>
        <w:rPr>
          <w:sz w:val="24"/>
        </w:rPr>
        <w:t>где R – невязка по уравнению; E_m – оценка m-го уровня энергии; A – член, отвечающий за нормализацию волновых функций на 1; B – член, отвечающий за ортогонализацию волновых функций разных состояний (члены A и B задаются как и в статье Li et al., 2021); весовые коэффициенты w характеризуют вклад в суммарное значение функционала потерь каждого из его членов. Правильно подобранные весовые коэффициенты способствуют уравновешиванию каждого из членов функционала потерь между собой. В ходе обучения решателя весовые коэффициенты менялись на каждом сотом шаге обучения согласно следующим формулам:</w:t>
      </w:r>
    </w:p>
    <w:p w14:paraId="05000000">
      <w:pPr>
        <w:pStyle w:val="Style_1"/>
        <w:ind/>
        <w:jc w:val="center"/>
        <w:rPr>
          <w:sz w:val="24"/>
        </w:rPr>
      </w:pPr>
      <m:oMathPara>
        <m:oMath>
          <m:sSub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r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rPr>
              <m:sty m:val="p"/>
            </m:rPr>
            <m:t>min</m:t>
          </m:r>
          <m:r>
            <w:rPr>
              <w:rFonts w:ascii="Cambria Math" w:hAnsi="Cambria Math"/>
              <w:sz w:val="24"/>
            </w:rPr>
            <m:t>(</m:t>
          </m:r>
          <m:sSub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r,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max</m:t>
              </m:r>
            </m:sub>
          </m:sSub>
          <m:r>
            <w:rPr>
              <w:rFonts w:ascii="Cambria Math" w:hAnsi="Cambria Math"/>
              <w:sz w:val="24"/>
            </w:rPr>
            <m:t>;1/&lt;|</m:t>
          </m:r>
          <m:sSup>
            <m:e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R|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sSub>
            <m:e>
              <m:r>
                <w:rPr>
                  <w:rFonts w:ascii="Cambria Math" w:hAnsi="Cambria Math"/>
                  <w:sz w:val="24"/>
                </w:rPr>
                <m:t>&gt;</m:t>
              </m:r>
            </m:e>
            <m:sub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states</m:t>
              </m:r>
              <m:r>
                <w:rPr>
                  <w:rFonts w:ascii="Cambria Math" w:hAnsi="Cambria Math"/>
                  <w:sz w:val="24"/>
                </w:rPr>
                <m:t>,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batch</m:t>
              </m:r>
            </m:sub>
          </m:sSub>
          <m:r>
            <w:rPr>
              <w:rFonts w:ascii="Cambria Math" w:hAnsi="Cambria Math"/>
              <w:sz w:val="24"/>
            </w:rPr>
            <m:t>),</m:t>
          </m:r>
        </m:oMath>
      </m:oMathPara>
    </w:p>
    <w:p w14:paraId="06000000">
      <w:pPr>
        <w:pStyle w:val="Style_1"/>
        <w:ind/>
        <w:jc w:val="center"/>
        <w:rPr>
          <w:sz w:val="24"/>
        </w:rPr>
      </w:pPr>
      <m:oMathPara>
        <m:oMath>
          <m:sSub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</w:rPr>
            <m:t>=1/</m:t>
          </m:r>
          <m:sSub>
            <m:e>
              <m:r>
                <w:rPr>
                  <w:rFonts w:ascii="Cambria Math" w:hAnsi="Cambria Math"/>
                  <w:sz w:val="24"/>
                </w:rPr>
                <m:t>∑</m:t>
              </m:r>
              <m:r>
                <w:rPr>
                  <w:rFonts w:ascii="Cambria Math" w:hAnsi="Cambria Math"/>
                  <w:sz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</w:rPr>
            <m:t>,</m:t>
          </m:r>
        </m:oMath>
      </m:oMathPara>
    </w:p>
    <w:p w14:paraId="07000000">
      <w:pPr>
        <w:pStyle w:val="Style_1"/>
        <w:ind/>
        <w:jc w:val="center"/>
        <w:rPr>
          <w:sz w:val="24"/>
        </w:rPr>
      </w:pPr>
      <m:oMathPara>
        <m:oMath>
          <m:sSub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rPr>
              <m:sty m:val="p"/>
            </m:rPr>
            <m:t>min</m:t>
          </m:r>
          <m:r>
            <w:rPr>
              <w:rFonts w:ascii="Cambria Math" w:hAnsi="Cambria Math"/>
              <w:sz w:val="24"/>
            </w:rPr>
            <m:t>(</m:t>
          </m:r>
          <m:sSub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a,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max</m:t>
              </m:r>
            </m:sub>
          </m:sSub>
          <m:r>
            <w:rPr>
              <w:rFonts w:ascii="Cambria Math" w:hAnsi="Cambria Math"/>
              <w:sz w:val="24"/>
            </w:rPr>
            <m:t>;1/A),</m:t>
          </m:r>
        </m:oMath>
      </m:oMathPara>
    </w:p>
    <w:p w14:paraId="08000000">
      <w:pPr>
        <w:pStyle w:val="Style_1"/>
        <w:ind/>
        <w:jc w:val="center"/>
        <w:rPr>
          <w:sz w:val="24"/>
        </w:rPr>
      </w:pPr>
      <m:oMathPara>
        <m:oMath>
          <m:sSub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rPr>
              <m:sty m:val="p"/>
            </m:rPr>
            <m:t>min</m:t>
          </m:r>
          <m:r>
            <w:rPr>
              <w:rFonts w:ascii="Cambria Math" w:hAnsi="Cambria Math"/>
              <w:sz w:val="24"/>
            </w:rPr>
            <m:t>(</m:t>
          </m:r>
          <m:sSub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b,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max</m:t>
              </m:r>
            </m:sub>
          </m:sSub>
          <m:r>
            <w:rPr>
              <w:rFonts w:ascii="Cambria Math" w:hAnsi="Cambria Math"/>
              <w:sz w:val="24"/>
            </w:rPr>
            <m:t>;1</m:t>
          </m:r>
          <m:r>
            <w:rPr>
              <w:rFonts w:ascii="Cambria Math" w:hAnsi="Cambria Math"/>
              <w:sz w:val="24"/>
            </w:rPr>
            <m:rPr>
              <m:sty m:val="p"/>
            </m:rPr>
            <m:t>/B</m:t>
          </m:r>
          <m:r>
            <w:rPr>
              <w:rFonts w:ascii="Cambria Math" w:hAnsi="Cambria Math"/>
              <w:sz w:val="24"/>
            </w:rPr>
            <m:t>).</m:t>
          </m:r>
        </m:oMath>
      </m:oMathPara>
    </w:p>
    <w:p w14:paraId="09000000">
      <w:pPr>
        <w:pStyle w:val="Style_1"/>
        <w:ind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Такой подход позволил добиться некоторых успехов в размерности D=3 (ранее здесь успехов добиться не получалось). Было продолжено рассмотрение задачи с квантовым осциллятором</w:t>
      </w:r>
      <w:r>
        <w:rPr>
          <w:sz w:val="24"/>
        </w:rPr>
        <w:t xml:space="preserve">. Параметры </w:t>
      </w:r>
      <m:oMathPara>
        <m:oMath>
          <m:sSub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r,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max</m:t>
              </m:r>
            </m:sub>
          </m:sSub>
        </m:oMath>
      </m:oMathPara>
      <w:r>
        <w:rPr>
          <w:sz w:val="24"/>
        </w:rPr>
        <w:t xml:space="preserve">, </w:t>
      </w:r>
      <m:oMathPara>
        <m:oMath>
          <m:sSub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a,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max</m:t>
              </m:r>
            </m:sub>
          </m:sSub>
        </m:oMath>
      </m:oMathPara>
      <w:r>
        <w:rPr>
          <w:sz w:val="24"/>
        </w:rPr>
        <w:t xml:space="preserve"> и </w:t>
      </w:r>
      <m:oMathPara>
        <m:oMath>
          <m:sSub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b,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max</m:t>
              </m:r>
            </m:sub>
          </m:sSub>
        </m:oMath>
      </m:oMathPara>
      <w:r>
        <w:rPr>
          <w:sz w:val="24"/>
        </w:rPr>
        <w:t xml:space="preserve"> являются гиперпараметрами модели и подбирались вручную. Были подобраны следующие значения: </w:t>
      </w:r>
      <w:r>
        <w:rPr>
          <w:sz w:val="24"/>
        </w:rPr>
        <w:t xml:space="preserve"> </w:t>
      </w:r>
      <m:oMathPara>
        <m:oMath>
          <m:sSub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r,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max</m:t>
              </m:r>
            </m:sub>
          </m:sSub>
          <m:r>
            <w:rPr>
              <w:rFonts w:ascii="Cambria Math" w:hAnsi="Cambria Math"/>
              <w:sz w:val="24"/>
            </w:rPr>
            <m:t>=500</m:t>
          </m:r>
        </m:oMath>
      </m:oMathPara>
      <w:r>
        <w:rPr>
          <w:sz w:val="24"/>
        </w:rPr>
        <w:t xml:space="preserve">, </w:t>
      </w:r>
      <m:oMathPara>
        <m:oMath>
          <m:sSub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a,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max</m:t>
              </m:r>
            </m:sub>
          </m:sSub>
          <m:r>
            <w:rPr>
              <w:rFonts w:ascii="Cambria Math" w:hAnsi="Cambria Math"/>
              <w:sz w:val="24"/>
            </w:rPr>
            <m:t>=10</m:t>
          </m:r>
        </m:oMath>
      </m:oMathPara>
      <w:r>
        <w:rPr>
          <w:sz w:val="24"/>
        </w:rPr>
        <w:t xml:space="preserve"> и </w:t>
      </w:r>
      <m:oMathPara>
        <m:oMath>
          <m:sSub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b,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max</m:t>
              </m:r>
            </m:sub>
          </m:sSub>
          <m:r>
            <w:rPr>
              <w:rFonts w:ascii="Cambria Math" w:hAnsi="Cambria Math"/>
              <w:sz w:val="24"/>
            </w:rPr>
            <m:t>=10</m:t>
          </m:r>
        </m:oMath>
      </m:oMathPara>
      <w:r>
        <w:rPr>
          <w:sz w:val="24"/>
        </w:rPr>
        <w:t xml:space="preserve">. Число шагов обучения решателя составило I=30000, характерный размер амплитудной функции (в качестве который используется </w:t>
      </w:r>
      <m:oMathPara>
        <m:oMath>
          <m:r>
            <w:rPr>
              <w:rFonts w:ascii="Cambria Math" w:hAnsi="Cambria Math"/>
              <w:sz w:val="24"/>
            </w:rPr>
            <m:rPr>
              <m:sty m:val="p"/>
            </m:rPr>
            <m:t>exp</m:t>
          </m:r>
          <m:r>
            <w:rPr>
              <w:rFonts w:ascii="Cambria Math" w:hAnsi="Cambria Math"/>
              <w:sz w:val="24"/>
            </w:rPr>
            <m:t>(-∑</m:t>
          </m:r>
          <m:r>
            <w:rPr>
              <w:rFonts w:ascii="Cambria Math" w:hAnsi="Cambria Math"/>
              <w:sz w:val="24"/>
            </w:rPr>
            <m:t>_</m:t>
          </m:r>
          <m:r>
            <w:rPr>
              <w:rFonts w:ascii="Cambria Math" w:hAnsi="Cambria Math"/>
              <w:sz w:val="24"/>
            </w:rPr>
            <m:t>d=</m:t>
          </m:r>
          <m:sSup>
            <m:e>
              <m:r>
                <w:rPr>
                  <w:rFonts w:ascii="Cambria Math" w:hAnsi="Cambria Math"/>
                  <w:sz w:val="24"/>
                </w:rPr>
                <m:t>1</m:t>
              </m:r>
            </m:e>
            <m:sup>
              <m:r>
                <w:rPr>
                  <w:rFonts w:ascii="Cambria Math" w:hAnsi="Cambria Math"/>
                  <w:sz w:val="24"/>
                </w:rPr>
                <m:t>D</m:t>
              </m:r>
            </m:sup>
          </m:sSup>
          <m:sSubSup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d</m:t>
              </m:r>
            </m:sub>
            <m:sup>
              <m:r>
                <w:rPr>
                  <w:rFonts w:ascii="Cambria Math" w:hAnsi="Cambria Math"/>
                  <w:sz w:val="24"/>
                </w:rPr>
                <m:t>4</m:t>
              </m:r>
            </m:sup>
          </m:sSubSup>
          <m:r>
            <w:rPr>
              <w:rFonts w:ascii="Cambria Math" w:hAnsi="Cambria Math"/>
              <w:sz w:val="24"/>
            </w:rPr>
            <m:t>/</m:t>
          </m:r>
          <m:sSup>
            <m:e>
              <m:r>
                <w:rPr>
                  <w:rFonts w:ascii="Cambria Math" w:hAnsi="Cambria Math"/>
                  <w:sz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</w:rPr>
            <m:t>)</m:t>
          </m:r>
        </m:oMath>
      </m:oMathPara>
      <w:r>
        <w:rPr>
          <w:sz w:val="24"/>
        </w:rPr>
        <w:t xml:space="preserve">) L на старте обучения составлял 3 и увеличивался до 5 к концу обучения (L увеличивалось в </w:t>
      </w:r>
      <m:oMathPara>
        <m:oMath>
          <m:r>
            <w:rPr>
              <w:rFonts w:ascii="Cambria Math" w:hAnsi="Cambria Math"/>
              <w:sz w:val="24"/>
            </w:rPr>
            <m:t>σ=1.</m:t>
          </m:r>
          <m:sSup>
            <m:e>
              <m:r>
                <w:rPr>
                  <w:rFonts w:ascii="Cambria Math" w:hAnsi="Cambria Math"/>
                  <w:sz w:val="24"/>
                </w:rPr>
                <m:t>5</m:t>
              </m:r>
            </m:e>
            <m:sup>
              <m:r>
                <w:rPr>
                  <w:rFonts w:ascii="Cambria Math" w:hAnsi="Cambria Math"/>
                  <w:sz w:val="24"/>
                </w:rPr>
                <m:t>1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/I</m:t>
              </m:r>
            </m:sup>
          </m:sSup>
        </m:oMath>
      </m:oMathPara>
      <w:r>
        <w:rPr>
          <w:sz w:val="24"/>
        </w:rPr>
        <w:t xml:space="preserve"> раз </w:t>
      </w:r>
      <w:r>
        <w:rPr>
          <w:sz w:val="24"/>
        </w:rPr>
        <w:drawing>
          <wp:anchor allowOverlap="true" behindDoc="false" distL="114300" distR="114300" layoutInCell="true" locked="false" relativeHeight="251658240" simplePos="false">
            <wp:simplePos x="0" y="0"/>
            <wp:positionH relativeFrom="column">
              <wp:posOffset>-162488</wp:posOffset>
            </wp:positionH>
            <wp:positionV relativeFrom="page">
              <wp:posOffset>6581774</wp:posOffset>
            </wp:positionV>
            <wp:extent cx="6276974" cy="3914774"/>
            <wp:wrapTopAndBottom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76974" cy="391477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4"/>
        </w:rPr>
        <w:t>на каждом шаге обучения). Обучения с размером партии точек 2^13 заняло 36 минут. На каждом шаге обучения партия точек в исходном координатном пространстве генерировалась заново, при этом таким образом, что полученная выборка точек подчинялась нормальному распределению со средним 0 и стандартным отклонением L/D.</w:t>
      </w:r>
    </w:p>
    <w:p w14:paraId="0A000000">
      <w:pPr>
        <w:pStyle w:val="Style_1"/>
        <w:ind/>
        <w:jc w:val="left"/>
        <w:rPr>
          <w:sz w:val="24"/>
        </w:rPr>
      </w:pPr>
    </w:p>
    <w:p w14:paraId="0B000000">
      <w:pPr>
        <w:pStyle w:val="Style_1"/>
        <w:ind/>
        <w:jc w:val="left"/>
        <w:rPr>
          <w:sz w:val="24"/>
        </w:rPr>
      </w:pPr>
      <w:r>
        <w:rPr>
          <w:sz w:val="24"/>
        </w:rPr>
        <w:t xml:space="preserve">Результаты обучения представлены на рисунке ниже. Рассматривалось пять состояний. Удалось получить правильную оценку энергий пяти нижних состояний спектра квантового трехмерного ГО, кроме того, удалось правильно оценить вырождение первых 4 уровней. Значение оценок энергий на финальном шаге обучения: </w:t>
      </w:r>
      <w:r>
        <w:t>1.5312501, 2.565002,  2.5853422, 2.6711814, 3.6218684</w:t>
      </w:r>
      <w:r>
        <w:rPr>
          <w:sz w:val="24"/>
        </w:rPr>
        <w:t>. Оценки получились завышенными. Посмотреть о деталях обучения (например, как менялись значения весовых коэффициентов) и модели можно на github по ссылке (</w:t>
      </w:r>
      <w:r>
        <w:t>https://github.com/MrKozelberg/nn-based-multistate-solver-for-se/blob/main/src/nnbmss_for_static_se.ipynb)</w:t>
      </w:r>
      <w:r>
        <w:rPr>
          <w:sz w:val="24"/>
        </w:rPr>
        <w:t>.</w:t>
      </w:r>
    </w:p>
    <w:p w14:paraId="0C000000">
      <w:pPr>
        <w:pStyle w:val="Style_1"/>
        <w:ind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Далее планирую уточнить значение параметров </w:t>
      </w:r>
      <m:oMathPara>
        <m:oMath>
          <m:sSub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r,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max</m:t>
              </m:r>
            </m:sub>
          </m:sSub>
        </m:oMath>
      </m:oMathPara>
      <w:r>
        <w:rPr>
          <w:sz w:val="24"/>
        </w:rPr>
        <w:t xml:space="preserve">, </w:t>
      </w:r>
      <m:oMathPara>
        <m:oMath>
          <m:sSub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a,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max</m:t>
              </m:r>
            </m:sub>
          </m:sSub>
        </m:oMath>
      </m:oMathPara>
      <w:r>
        <w:rPr>
          <w:sz w:val="24"/>
        </w:rPr>
        <w:t xml:space="preserve"> и </w:t>
      </w:r>
      <m:oMathPara>
        <m:oMath>
          <m:sSub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b,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max</m:t>
              </m:r>
            </m:sub>
          </m:sSub>
        </m:oMath>
      </m:oMathPara>
      <w:r>
        <w:rPr>
          <w:sz w:val="24"/>
        </w:rPr>
        <w:t xml:space="preserve"> посмотреть, как модель работает с большим числом состояний. После этого, перейду к размерности 4. 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2023-05-12T17:36:03Z</dcterms:modified>
</cp:coreProperties>
</file>