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第20讲 VOF与接触角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配套算例位于原课程“20</w:t>
      </w:r>
      <w:r>
        <w:rPr>
          <w:rFonts w:ascii="Consolas" w:hAnsi="Consolas" w:cs="Consolas" w:eastAsia="宋体"/>
          <w:color w:val="1F3D50"/>
          <w:sz w:val="21"/>
        </w:rPr>
        <w:t>_VOF</w:t>
      </w:r>
      <w:r>
        <w:rPr>
          <w:rFonts w:ascii="宋体" w:hAnsi="宋体" w:cs="宋体" w:eastAsia="宋体"/>
          <w:color w:val="000000"/>
          <w:sz w:val="22"/>
        </w:rPr>
        <w:t>与接触角”目录。文中相对路径以该讲目录或已注明的算例目录为准。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相分数方程与界面表示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 xml:space="preserve"> 以单元相体积比例表示界面。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为 1、0 时分别表示水和气体，混合单元介于两者之间。α</w:t>
      </w:r>
      <w:r>
        <w:rPr>
          <w:rFonts w:ascii="Consolas" w:hAnsi="Consolas" w:cs="Consolas" w:eastAsia="宋体"/>
          <w:color w:val="1F3D50"/>
          <w:sz w:val="21"/>
        </w:rPr>
        <w:t>water</w:t>
      </w:r>
      <w:r>
        <w:rPr>
          <w:rFonts w:ascii="宋体" w:hAnsi="宋体" w:cs="宋体" w:eastAsia="宋体"/>
          <w:color w:val="000000"/>
          <w:sz w:val="22"/>
        </w:rPr>
        <w:t>=0.5 等值面用于显示形状，守恒量由原始相分数积分获得，二者定义不同。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不可压缩且无相间质量交换时，相分数满足 ∂α/∂t+∇·(Uα)=0，并与速度连续性约束共同描述相的输运。离散对流可能使界面过渡展宽，代数 </w:t>
      </w:r>
      <w:r>
        <w:rPr>
          <w:rFonts w:ascii="Consolas" w:hAnsi="Consolas" w:cs="Consolas" w:eastAsia="宋体"/>
          <w:color w:val="1F3D50"/>
          <w:sz w:val="21"/>
        </w:rPr>
        <w:t>VOF</w:t>
      </w:r>
      <w:r>
        <w:rPr>
          <w:rFonts w:ascii="宋体" w:hAnsi="宋体" w:cs="宋体" w:eastAsia="宋体"/>
          <w:color w:val="000000"/>
          <w:sz w:val="22"/>
        </w:rPr>
        <w:t xml:space="preserve"> 为此加入 ∇·[Urα(1−α)]。Ur 为数值压缩速度，α(1−α) 将压缩作用限制在界面附近。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界面压缩用于控制数值界面厚度，不表示气体密度随压力变化；其强度需与网格、时间步和有界处理协调。本讲采用恒定物性：水为 998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³、1×10⁻⁶ m²/s，空气为 1.2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 xml:space="preserve">³、1.5×10⁻⁵ m²/s，表面张力为 0.072 </w:t>
      </w:r>
      <w:r>
        <w:rPr>
          <w:rFonts w:ascii="Consolas" w:hAnsi="Consolas" w:cs="Consolas" w:eastAsia="宋体"/>
          <w:color w:val="1F3D50"/>
          <w:sz w:val="21"/>
        </w:rPr>
        <w:t>N/m</w:t>
      </w:r>
      <w:r>
        <w:rPr>
          <w:rFonts w:ascii="宋体" w:hAnsi="宋体" w:cs="宋体" w:eastAsia="宋体"/>
          <w:color w:val="000000"/>
          <w:sz w:val="22"/>
        </w:rPr>
        <w:t>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表面张力与接触角的几何意义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球泡曲率决定 Δp=2σ/R。接触固壁后，还需用接触角约束壁面与界面的交线方向。固定体积改变角度通常同时改变高度、接触半径及曲率，从而改变局部压力。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接触角应明确测量相，以及固壁法向和界面法向。平滑界面的液侧角与气侧角互为补角，文献与模型的定义不同时应先换算。本机 </w:t>
      </w:r>
      <w:r>
        <w:rPr>
          <w:rFonts w:ascii="Consolas" w:hAnsi="Consolas" w:cs="Consolas" w:eastAsia="宋体"/>
          <w:color w:val="1F3D50"/>
          <w:sz w:val="21"/>
        </w:rPr>
        <w:t>interfaceProperties.C</w:t>
      </w:r>
      <w:r>
        <w:rPr>
          <w:rFonts w:ascii="宋体" w:hAnsi="宋体" w:cs="宋体" w:eastAsia="宋体"/>
          <w:color w:val="000000"/>
          <w:sz w:val="22"/>
        </w:rPr>
        <w:t xml:space="preserve"> 由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梯度确定界面法向，再按壁面法向和给定角度修正近壁方向，角度含义须与该实现一致。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测量接触角应选经过对称轴或接触线法平面的截面，避免斜截面投影改变切线方向。近壁界面只跨少量单元，单个等值点易受插值影响，宜在规定距离内拟合切线，并报告拟合范围、网格尺寸及加密后的变化。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接触角边界的实现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三个独立对照为 </w:t>
      </w:r>
      <w:r>
        <w:rPr>
          <w:rFonts w:ascii="Consolas" w:hAnsi="Consolas" w:cs="Consolas" w:eastAsia="宋体"/>
          <w:color w:val="1F3D50"/>
          <w:sz w:val="21"/>
        </w:rPr>
        <w:t>interFoam_N24_theta60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interFoam_N24_theta90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interFoam_N24_theta120</w:t>
      </w:r>
      <w:r>
        <w:rPr>
          <w:rFonts w:ascii="宋体" w:hAnsi="宋体" w:cs="宋体" w:eastAsia="宋体"/>
          <w:color w:val="000000"/>
          <w:sz w:val="22"/>
        </w:rPr>
        <w:t xml:space="preserve">。以下给出 </w:t>
      </w:r>
      <w:r>
        <w:rPr>
          <w:rFonts w:ascii="Consolas" w:hAnsi="Consolas" w:cs="Consolas" w:eastAsia="宋体"/>
          <w:color w:val="1F3D50"/>
          <w:sz w:val="21"/>
        </w:rPr>
        <w:t>theta90</w:t>
      </w:r>
      <w:r>
        <w:rPr>
          <w:rFonts w:ascii="宋体" w:hAnsi="宋体" w:cs="宋体" w:eastAsia="宋体"/>
          <w:color w:val="000000"/>
          <w:sz w:val="22"/>
        </w:rPr>
        <w:t xml:space="preserve"> 的实际底部配置：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sourceWall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{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type constantAlphaContactAngle;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theta0 90;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limit gradient;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value uniform 1;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}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constantAlphaContactAngle</w:t>
      </w:r>
      <w:r>
        <w:rPr>
          <w:rFonts w:ascii="宋体" w:hAnsi="宋体" w:cs="宋体" w:eastAsia="宋体"/>
          <w:color w:val="000000"/>
          <w:sz w:val="22"/>
        </w:rPr>
        <w:t xml:space="preserve"> 采用恒定角度模型，</w:t>
      </w:r>
      <w:r>
        <w:rPr>
          <w:rFonts w:ascii="Consolas" w:hAnsi="Consolas" w:cs="Consolas" w:eastAsia="宋体"/>
          <w:color w:val="1F3D50"/>
          <w:sz w:val="21"/>
        </w:rPr>
        <w:t>theta0</w:t>
      </w:r>
      <w:r>
        <w:rPr>
          <w:rFonts w:ascii="宋体" w:hAnsi="宋体" w:cs="宋体" w:eastAsia="宋体"/>
          <w:color w:val="000000"/>
          <w:sz w:val="22"/>
        </w:rPr>
        <w:t xml:space="preserve"> 以度表示。</w:t>
      </w:r>
      <w:r>
        <w:rPr>
          <w:rFonts w:ascii="Consolas" w:hAnsi="Consolas" w:cs="Consolas" w:eastAsia="宋体"/>
          <w:color w:val="1F3D50"/>
          <w:sz w:val="21"/>
        </w:rPr>
        <w:t>limit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gradient</w:t>
      </w:r>
      <w:r>
        <w:rPr>
          <w:rFonts w:ascii="宋体" w:hAnsi="宋体" w:cs="宋体" w:eastAsia="宋体"/>
          <w:color w:val="000000"/>
          <w:sz w:val="22"/>
        </w:rPr>
        <w:t xml:space="preserve"> 控制边界梯度限制，</w:t>
      </w:r>
      <w:r>
        <w:rPr>
          <w:rFonts w:ascii="Consolas" w:hAnsi="Consolas" w:cs="Consolas" w:eastAsia="宋体"/>
          <w:color w:val="1F3D50"/>
          <w:sz w:val="21"/>
        </w:rPr>
        <w:t>value</w:t>
      </w:r>
      <w:r>
        <w:rPr>
          <w:rFonts w:ascii="宋体" w:hAnsi="宋体" w:cs="宋体" w:eastAsia="宋体"/>
          <w:color w:val="000000"/>
          <w:sz w:val="22"/>
        </w:rPr>
        <w:t xml:space="preserve"> 提供初始边界值。该条件通过近壁法向和相分数梯度影响曲率及毛细力，直接参与求解。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当前 </w:t>
      </w:r>
      <w:r>
        <w:rPr>
          <w:rFonts w:ascii="Consolas" w:hAnsi="Consolas" w:cs="Consolas" w:eastAsia="宋体"/>
          <w:color w:val="1F3D50"/>
          <w:sz w:val="21"/>
        </w:rPr>
        <w:t>bottomWall</w:t>
      </w:r>
      <w:r>
        <w:rPr>
          <w:rFonts w:ascii="宋体" w:hAnsi="宋体" w:cs="宋体" w:eastAsia="宋体"/>
          <w:color w:val="000000"/>
          <w:sz w:val="22"/>
        </w:rPr>
        <w:t xml:space="preserve"> 和 </w:t>
      </w:r>
      <w:r>
        <w:rPr>
          <w:rFonts w:ascii="Consolas" w:hAnsi="Consolas" w:cs="Consolas" w:eastAsia="宋体"/>
          <w:color w:val="1F3D50"/>
          <w:sz w:val="21"/>
        </w:rPr>
        <w:t>outer</w:t>
      </w:r>
      <w:r>
        <w:rPr>
          <w:rFonts w:ascii="宋体" w:hAnsi="宋体" w:cs="宋体" w:eastAsia="宋体"/>
          <w:color w:val="000000"/>
          <w:sz w:val="22"/>
        </w:rPr>
        <w:t xml:space="preserve"> 也包含同类接触角设置，</w:t>
      </w:r>
      <w:r>
        <w:rPr>
          <w:rFonts w:ascii="Consolas" w:hAnsi="Consolas" w:cs="Consolas" w:eastAsia="宋体"/>
          <w:color w:val="1F3D50"/>
          <w:sz w:val="21"/>
        </w:rPr>
        <w:t>top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inletOutlet</w:t>
      </w:r>
      <w:r>
        <w:rPr>
          <w:rFonts w:ascii="宋体" w:hAnsi="宋体" w:cs="宋体" w:eastAsia="宋体"/>
          <w:color w:val="000000"/>
          <w:sz w:val="22"/>
        </w:rPr>
        <w:t>；</w:t>
      </w:r>
      <w:r>
        <w:rPr>
          <w:rFonts w:ascii="Consolas" w:hAnsi="Consolas" w:cs="Consolas" w:eastAsia="宋体"/>
          <w:color w:val="1F3D50"/>
          <w:sz w:val="21"/>
        </w:rPr>
        <w:t>wedgeFront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wedgeBack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axis</w:t>
      </w:r>
      <w:r>
        <w:rPr>
          <w:rFonts w:ascii="宋体" w:hAnsi="宋体" w:cs="宋体" w:eastAsia="宋体"/>
          <w:color w:val="000000"/>
          <w:sz w:val="22"/>
        </w:rPr>
        <w:t xml:space="preserve"> 使用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。阅读边界条件时，应将场文件的每个边界名称与 </w:t>
      </w:r>
      <w:r>
        <w:rPr>
          <w:rFonts w:ascii="Consolas" w:hAnsi="Consolas" w:cs="Consolas" w:eastAsia="宋体"/>
          <w:color w:val="1F3D50"/>
          <w:sz w:val="21"/>
        </w:rPr>
        <w:t>constant/polyMesh/boundary</w:t>
      </w:r>
      <w:r>
        <w:rPr>
          <w:rFonts w:ascii="宋体" w:hAnsi="宋体" w:cs="宋体" w:eastAsia="宋体"/>
          <w:color w:val="000000"/>
          <w:sz w:val="22"/>
        </w:rPr>
        <w:t xml:space="preserve"> 对照，确认它们在几何中的位置。只有实际与界面相交的固壁，其接触角约束才直接作用于当前接触线。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速度、压力与相分数边界需要共同构成闭合问题。例如，不透过固壁的速度约束决定法向体积通量，压力边界需与该通量及毛细力相容，接触角则提供界面方向。仅修改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中的角度，并不能替代壁面速度或压力条件。检查界面变化时，应同时查看近壁速度和压力，以判断毛细调整是否合理。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球冠初始场的构造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 xml:space="preserve"> 按单元中心生成初场。给定 V=2.6179938779914943×10⁻¹⁰ m³ 和气侧角 θg，球心为 y=−</w:t>
      </w:r>
      <w:r>
        <w:rPr>
          <w:rFonts w:ascii="Consolas" w:hAnsi="Consolas" w:cs="Consolas" w:eastAsia="宋体"/>
          <w:color w:val="1F3D50"/>
          <w:sz w:val="21"/>
        </w:rPr>
        <w:t>Rcos</w:t>
      </w:r>
      <w:r>
        <w:rPr>
          <w:rFonts w:ascii="宋体" w:hAnsi="宋体" w:cs="宋体" w:eastAsia="宋体"/>
          <w:color w:val="000000"/>
          <w:sz w:val="22"/>
        </w:rPr>
        <w:t>θg，球冠高 h=R(1−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θg)。由 V=πh²(R−</w:t>
      </w:r>
      <w:r>
        <w:rPr>
          <w:rFonts w:ascii="Consolas" w:hAnsi="Consolas" w:cs="Consolas" w:eastAsia="宋体"/>
          <w:color w:val="1F3D50"/>
          <w:sz w:val="21"/>
        </w:rPr>
        <w:t>h/3</w:t>
      </w:r>
      <w:r>
        <w:rPr>
          <w:rFonts w:ascii="宋体" w:hAnsi="宋体" w:cs="宋体" w:eastAsia="宋体"/>
          <w:color w:val="000000"/>
          <w:sz w:val="22"/>
        </w:rPr>
        <w:t>) 可推得球半径：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V = πR³(2−3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</w:t>
      </w:r>
      <w:r>
        <w:rPr>
          <w:rFonts w:ascii="Consolas" w:hAnsi="Consolas" w:cs="Consolas" w:eastAsia="宋体"/>
          <w:color w:val="1F3D50"/>
          <w:sz w:val="21"/>
        </w:rPr>
        <w:t>g+cos</w:t>
      </w:r>
      <w:r>
        <w:rPr>
          <w:rFonts w:ascii="宋体" w:hAnsi="宋体" w:cs="宋体" w:eastAsia="宋体"/>
          <w:color w:val="000000"/>
          <w:sz w:val="22"/>
        </w:rPr>
        <w:t>³θg)/3。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因此 R=[3V/(π(2−3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</w:t>
      </w:r>
      <w:r>
        <w:rPr>
          <w:rFonts w:ascii="Consolas" w:hAnsi="Consolas" w:cs="Consolas" w:eastAsia="宋体"/>
          <w:color w:val="1F3D50"/>
          <w:sz w:val="21"/>
        </w:rPr>
        <w:t>g+cos</w:t>
      </w:r>
      <w:r>
        <w:rPr>
          <w:rFonts w:ascii="宋体" w:hAnsi="宋体" w:cs="宋体" w:eastAsia="宋体"/>
          <w:color w:val="000000"/>
          <w:sz w:val="22"/>
        </w:rPr>
        <w:t xml:space="preserve">³θg))]^(1/3)。本例代码中的 </w:t>
      </w:r>
      <w:r>
        <w:rPr>
          <w:rFonts w:ascii="Consolas" w:hAnsi="Consolas" w:cs="Consolas" w:eastAsia="宋体"/>
          <w:color w:val="1F3D50"/>
          <w:sz w:val="21"/>
        </w:rPr>
        <w:t>thetaG</w:t>
      </w:r>
      <w:r>
        <w:rPr>
          <w:rFonts w:ascii="宋体" w:hAnsi="宋体" w:cs="宋体" w:eastAsia="宋体"/>
          <w:color w:val="000000"/>
          <w:sz w:val="22"/>
        </w:rPr>
        <w:t xml:space="preserve"> 用于这一几何计算，边界中的 </w:t>
      </w:r>
      <w:r>
        <w:rPr>
          <w:rFonts w:ascii="Consolas" w:hAnsi="Consolas" w:cs="Consolas" w:eastAsia="宋体"/>
          <w:color w:val="1F3D50"/>
          <w:sz w:val="21"/>
        </w:rPr>
        <w:t>theta0</w:t>
      </w:r>
      <w:r>
        <w:rPr>
          <w:rFonts w:ascii="宋体" w:hAnsi="宋体" w:cs="宋体" w:eastAsia="宋体"/>
          <w:color w:val="000000"/>
          <w:sz w:val="22"/>
        </w:rPr>
        <w:t xml:space="preserve"> 用于近壁法向约束。分析不同角度时，应分别核对两者的定义、数值和测量方向。九十度时球心位于壁面，气泡为半球，几何关系最便于直接检查。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代码将满足单元中心到球心距离小于 R 的单元置为气相，其余置为水。该方法按单元中心判定区域，没有计算球面切割每个单元的精确体积分数，因此理论体积相同并不保证离散初始体积相同。网格越粗，接触线附近的几何差异越明显。参数对比必须先记录离散初始体积，再讨论后续形状和压力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固定体积的球冠比较与固定球半径的比较对应不同问题。前者改变接触角时，须同时调整球半径、球冠高度和接触半径；后者一般会改变体积。理解这一点，可以避免将初始气体量变化误认为接触角本身引起的生长或收缩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算例运行与时间分辨率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三组采用同一运行流程。读取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时，</w:t>
      </w:r>
      <w:r>
        <w:rPr>
          <w:rFonts w:ascii="Consolas" w:hAnsi="Consolas" w:cs="Consolas" w:eastAsia="宋体"/>
          <w:color w:val="1F3D50"/>
          <w:sz w:val="21"/>
        </w:rPr>
        <w:t>codeStream</w:t>
      </w:r>
      <w:r>
        <w:rPr>
          <w:rFonts w:ascii="宋体" w:hAnsi="宋体" w:cs="宋体" w:eastAsia="宋体"/>
          <w:color w:val="000000"/>
          <w:sz w:val="22"/>
        </w:rPr>
        <w:t xml:space="preserve"> 自动生成初场，因此 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不再调用 </w:t>
      </w:r>
      <w:r>
        <w:rPr>
          <w:rFonts w:ascii="Consolas" w:hAnsi="Consolas" w:cs="Consolas" w:eastAsia="宋体"/>
          <w:color w:val="1F3D50"/>
          <w:sz w:val="21"/>
        </w:rPr>
        <w:t>setFields</w:t>
      </w:r>
      <w:r>
        <w:rPr>
          <w:rFonts w:ascii="宋体" w:hAnsi="宋体" w:cs="宋体" w:eastAsia="宋体"/>
          <w:color w:val="000000"/>
          <w:sz w:val="22"/>
        </w:rPr>
        <w:t>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interFoam &gt; log.interFoam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postProcess -func 'mag(U)' -latestTime &gt; log.magU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首次求解包含运行时 </w:t>
      </w:r>
      <w:r>
        <w:rPr>
          <w:rFonts w:ascii="Consolas" w:hAnsi="Consolas" w:cs="Consolas" w:eastAsia="宋体"/>
          <w:color w:val="1F3D50"/>
          <w:sz w:val="21"/>
        </w:rPr>
        <w:t>C++</w:t>
      </w:r>
      <w:r>
        <w:rPr>
          <w:rFonts w:ascii="宋体" w:hAnsi="宋体" w:cs="宋体" w:eastAsia="宋体"/>
          <w:color w:val="000000"/>
          <w:sz w:val="22"/>
        </w:rPr>
        <w:t xml:space="preserve"> 编译，编译信息可能出现在求解器日志和 </w:t>
      </w:r>
      <w:r>
        <w:rPr>
          <w:rFonts w:ascii="Consolas" w:hAnsi="Consolas" w:cs="Consolas" w:eastAsia="宋体"/>
          <w:color w:val="1F3D50"/>
          <w:sz w:val="21"/>
        </w:rPr>
        <w:t>dynamicCode</w:t>
      </w:r>
      <w:r>
        <w:rPr>
          <w:rFonts w:ascii="宋体" w:hAnsi="宋体" w:cs="宋体" w:eastAsia="宋体"/>
          <w:color w:val="000000"/>
          <w:sz w:val="22"/>
        </w:rPr>
        <w:t xml:space="preserve"> 目录中。修改几何代码后，应检查是否重新编译，并在求解结果分析前显示初始场。三个目录保存各自完整输入，比较时直接进入对应目录运行，参数名称和结果来源能够明确对应。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计算终止时间为 0.00015 s，初始时间步与最大时间步为 2×10⁻⁶ s，</w:t>
      </w:r>
      <w:r>
        <w:rPr>
          <w:rFonts w:ascii="Consolas" w:hAnsi="Consolas" w:cs="Consolas" w:eastAsia="宋体"/>
          <w:color w:val="1F3D50"/>
          <w:sz w:val="21"/>
        </w:rPr>
        <w:t>maxCo</w:t>
      </w:r>
      <w:r>
        <w:rPr>
          <w:rFonts w:ascii="宋体" w:hAnsi="宋体" w:cs="宋体" w:eastAsia="宋体"/>
          <w:color w:val="000000"/>
          <w:sz w:val="22"/>
        </w:rPr>
        <w:t>=0.25，</w:t>
      </w:r>
      <w:r>
        <w:rPr>
          <w:rFonts w:ascii="Consolas" w:hAnsi="Consolas" w:cs="Consolas" w:eastAsia="宋体"/>
          <w:color w:val="1F3D50"/>
          <w:sz w:val="21"/>
        </w:rPr>
        <w:t>maxAlphaCo</w:t>
      </w:r>
      <w:r>
        <w:rPr>
          <w:rFonts w:ascii="宋体" w:hAnsi="宋体" w:cs="宋体" w:eastAsia="宋体"/>
          <w:color w:val="000000"/>
          <w:sz w:val="22"/>
        </w:rPr>
        <w:t>=0.2。该设置用于观察初始形状和毛细压力调整。毛细时间可按 tc≈√(ρR³/σ) 估算，物理过程的快慢还需与气泡尺度结合判断。将最后一帧称为平衡形状前，应继续检查速度衰减、形状变化及曲率压力关系。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代数界面输运在 </w:t>
      </w:r>
      <w:r>
        <w:rPr>
          <w:rFonts w:ascii="Consolas" w:hAnsi="Consolas" w:cs="Consolas" w:eastAsia="宋体"/>
          <w:color w:val="1F3D50"/>
          <w:sz w:val="21"/>
        </w:rPr>
        <w:t>system/fvSchemes</w:t>
      </w:r>
      <w:r>
        <w:rPr>
          <w:rFonts w:ascii="宋体" w:hAnsi="宋体" w:cs="宋体" w:eastAsia="宋体"/>
          <w:color w:val="000000"/>
          <w:sz w:val="22"/>
        </w:rPr>
        <w:t xml:space="preserve"> 中分别设置对流项与压缩项，相关方程控制位于 </w:t>
      </w:r>
      <w:r>
        <w:rPr>
          <w:rFonts w:ascii="Consolas" w:hAnsi="Consolas" w:cs="Consolas" w:eastAsia="宋体"/>
          <w:color w:val="1F3D50"/>
          <w:sz w:val="21"/>
        </w:rPr>
        <w:t>fvSolution</w:t>
      </w:r>
      <w:r>
        <w:rPr>
          <w:rFonts w:ascii="宋体" w:hAnsi="宋体" w:cs="宋体" w:eastAsia="宋体"/>
          <w:color w:val="000000"/>
          <w:sz w:val="22"/>
        </w:rPr>
        <w:t xml:space="preserve">。修改 </w:t>
      </w:r>
      <w:r>
        <w:rPr>
          <w:rFonts w:ascii="Consolas" w:hAnsi="Consolas" w:cs="Consolas" w:eastAsia="宋体"/>
          <w:color w:val="1F3D50"/>
          <w:sz w:val="21"/>
        </w:rPr>
        <w:t>cAlpha</w:t>
      </w:r>
      <w:r>
        <w:rPr>
          <w:rFonts w:ascii="宋体" w:hAnsi="宋体" w:cs="宋体" w:eastAsia="宋体"/>
          <w:color w:val="000000"/>
          <w:sz w:val="22"/>
        </w:rPr>
        <w:t xml:space="preserve"> 或时间步时，应保留其他条件，分别记录相分数极值、体积漂移和近壁界面变化。更强的压缩并不必然提高接触角精度，因为法向与曲率误差还受近壁网格影响。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三组实际结果的比较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三组算例均完成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计算，结束时刻均为 0.00015 s。初始气体体积分别约为 2.7470×10⁻¹⁰、2.5833×10⁻¹⁰ 和 2.5287×10⁻¹⁰ m³，对应六十度、九十度和一百二十度设置。与相同理论体积相比，离散差异已经存在于初始场，因此最终体积的直接大小排序不能单独归因于接触角动态作用。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六十度算例的体积相对变化约为 3.38×10⁻⁹，九十度约为 1.57×10⁻⁹，一百二十度约为 −1.26×10⁻⁹。三者在当前时段均基本保持各自的离散初始体积。各保存时刻中的最大速度分别约为 1.510、2.297 和 1.375 </w:t>
      </w:r>
      <w:r>
        <w:rPr>
          <w:rFonts w:ascii="Consolas" w:hAnsi="Consolas" w:cs="Consolas" w:eastAsia="宋体"/>
          <w:color w:val="1F3D50"/>
          <w:sz w:val="21"/>
        </w:rPr>
        <w:t>m/s</w:t>
      </w:r>
      <w:r>
        <w:rPr>
          <w:rFonts w:ascii="宋体" w:hAnsi="宋体" w:cs="宋体" w:eastAsia="宋体"/>
          <w:color w:val="000000"/>
          <w:sz w:val="22"/>
        </w:rPr>
        <w:t>，大小并不随角度单调变化，说明瞬态响应同时受到初场离散与毛细调整影响。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oam_N24_theta60_f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oam_N24_theta90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oam_N24_theta120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三图应在相同保存时刻、视角和色标下比较。主要观察气泡高度、接触范围和近壁界面方向，再结合初始体积说明差异。图形中的瞬时接触角还包含网格与界面插值影响，需要通过局部拟合得到数值，而非只根据视觉估计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接触线运动与模型适用条件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恒定接触角模型把角度设为固定值，适合研究给定润湿条件下的界面运动。实际表面可存在接触角滞后，即接触线前进与后退时采用不同角度；微结构边缘还会造成接触线钉扎。这些过程需要相应的边界模型或几何描述，不能由单个静态角度完全确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接触线附近同时涉及速度边界和界面输运。若需要研究接触线速度，应检查壁面滑移、网格分辨率及角度随速度的变化关系。在固定角度算例中观察到接触半径变化，首先反映所给边界和离散条件下的界面响应。将其用于具体材料表面时，应有相应接触角数据和表面条件作为输入依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构造更严格的角度对照时，可先选定一个理论气体体积，根据球冠公式分别生成三个初始几何，再通过局部加密减小离散体积差。随后在相同物性和计算条件下运行至形状变化减弱，比较拟合角度、接触半径和压力。若目标是动态过程，则保留相同初始几何，只改变边界角度，并明确此时研究的是形状调整过程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误差分析与阅读依据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相分数越界应结合幅度判断。当前三组最大值略高于一，超出量约为十亿分之几至一亿分之一，最小值为接近零的微小负数。若越界明显扩大，应检查时间步、界面压缩与网格质量。接触线附近出现锯齿时，应先确定是否由单元中心初场、等值面插值或局部法向误差引起，再选择加密或格式调整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压力比较应使用相同定义。p 是压力场，</w:t>
      </w:r>
      <w:r>
        <w:rPr>
          <w:rFonts w:ascii="Consolas" w:hAnsi="Consolas" w:cs="Consolas" w:eastAsia="宋体"/>
          <w:color w:val="1F3D50"/>
          <w:sz w:val="21"/>
        </w:rPr>
        <w:t>p_rgh</w:t>
      </w:r>
      <w:r>
        <w:rPr>
          <w:rFonts w:ascii="宋体" w:hAnsi="宋体" w:cs="宋体" w:eastAsia="宋体"/>
          <w:color w:val="000000"/>
          <w:sz w:val="22"/>
        </w:rPr>
        <w:t xml:space="preserve"> 去除了相应静水贡献，两者在重力方向上的分布不同。检验 </w:t>
      </w:r>
      <w:r>
        <w:rPr>
          <w:rFonts w:ascii="Consolas" w:hAnsi="Consolas" w:cs="Consolas" w:eastAsia="宋体"/>
          <w:color w:val="1F3D50"/>
          <w:sz w:val="21"/>
        </w:rPr>
        <w:t>Laplace</w:t>
      </w:r>
      <w:r>
        <w:rPr>
          <w:rFonts w:ascii="宋体" w:hAnsi="宋体" w:cs="宋体" w:eastAsia="宋体"/>
          <w:color w:val="000000"/>
          <w:sz w:val="22"/>
        </w:rPr>
        <w:t xml:space="preserve"> 压差时，可在气泡内外选取远离混合层的区域平均，减小单个界面单元压力振荡的影响。曲率、气泡尺度和接触角都应对应同一时刻。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初始几何角与边界输入角的关系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对于本例壁面以上的气泡，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 从气体内部的零增至外部水相的一，因此其梯度法向指向球面外侧。接触点处，球心至界面的单位向量在 y 方向的分量为 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θg；底面外法向为负 y，二者点积为 −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 xml:space="preserve">θg。本机角度修正要求该点积等于 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θ0，因而几何与边界相容时应满足 θ0=180°−θg。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当前目录名中的六十度、九十度和一百二十度均指边界输入角 θ0，对应的初始气侧几何角 θg 分别为一百二十度、九十度和六十度。三组均满足 θ0=180°−θg，初始几何方向与边界角度约束相容。单元中心初始化仍会产生体积、法向和曲率离散误差，并引起初期压力与速度调整。当前短时最大速度的差异应结合这些误差分析，不能直接作为静态平衡后的润湿性规律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研究平衡球冠时，应保持初始几何角与边界角的上述关系，并通过网格加密和延长计算检查体积偏差、速度衰减及形状变化。若研究突然改变润湿条件后的响应，可在独立副本中保持原初始几何，仅改变边界角度，同时注明初始角度、目标角度和改变时刻。</w:t>
      </w:r>
    </w:p>
    <w:p>
      <w:pPr>
        <w:pStyle w:val="Heading2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网格与测量范围的影响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球冠体积由全体气相单元积分，而接触角由少量近壁点确定，两者对网格的敏感程度不同。均匀加密能同时改善曲面离散和接触线分辨率，局部加密则需要检查尺寸过渡是否影响曲率。由于曲率涉及界面法向的空间变化，法向中的小幅离散波动会进一步反映在压力与速度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拟合接触角时，应选定以网格尺度表示的取点范围，例如比较距离壁面若干层单元内的拟合结果，并记录该范围的实际长度。范围过小容易受单元阶梯影响，范围过大则会把球冠曲率计入直线斜率，使局部切线估计偏移。可以比较多个拟合范围的结果，并观察加密后差异是否减小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固定气体体积时，球冠高度和接触半径均有解析表达式：高度 h=R(1−</w:t>
      </w:r>
      <w:r>
        <w:rPr>
          <w:rFonts w:ascii="Consolas" w:hAnsi="Consolas" w:cs="Consolas" w:eastAsia="宋体"/>
          <w:color w:val="1F3D50"/>
          <w:sz w:val="21"/>
        </w:rPr>
        <w:t>cos</w:t>
      </w:r>
      <w:r>
        <w:rPr>
          <w:rFonts w:ascii="宋体" w:hAnsi="宋体" w:cs="宋体" w:eastAsia="宋体"/>
          <w:color w:val="000000"/>
          <w:sz w:val="22"/>
        </w:rPr>
        <w:t>θg)，接触半径 a=</w:t>
      </w:r>
      <w:r>
        <w:rPr>
          <w:rFonts w:ascii="Consolas" w:hAnsi="Consolas" w:cs="Consolas" w:eastAsia="宋体"/>
          <w:color w:val="1F3D50"/>
          <w:sz w:val="21"/>
        </w:rPr>
        <w:t>Rsin</w:t>
      </w:r>
      <w:r>
        <w:rPr>
          <w:rFonts w:ascii="宋体" w:hAnsi="宋体" w:cs="宋体" w:eastAsia="宋体"/>
          <w:color w:val="000000"/>
          <w:sz w:val="22"/>
        </w:rPr>
        <w:t>θg。根据体积先求 R，再计算 h 和 a，便可建立几何检查。数值图中测得的最大高度、壁面气相接触范围与这些值比较时，应使用相同角度定义，并区分理论球冠、离散初场与后续瞬态形状。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体积随时间保持并不意味着初始体积已经准确。当前三组体积漂移很小，而初始体积仍具有不同程度的网格偏差。这两项误差分别对应初场构造与输运守恒，应分别记录。网格研究中可先绘制初始体积误差随网格尺寸的变化，再在各自初始体积基础上分析输运阶段的相对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于九十度基准，可先利用半球几何检查角度约定，再分析其他角度。这一步将几何定义与数值实现联系起来，也便于发现气相侧和液相侧角度混用。图表中应同时注明几何初始角和边界输入角，使短时调整过程具有明确的初始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比较界面图时还应保持坐标比例一致。若横纵方向采用不同缩放，球冠高度和接触角的视觉判断都会改变。保存图像前可显示坐标轴及长度标尺，用等比例视图测量几何量。压力和速度的色标范围也应记录，以区分实际幅值变化与自动色标缩放的影响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本讲依据本地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interfaceProperties.C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constantAlphaContactAngle</w:t>
      </w:r>
      <w:r>
        <w:rPr>
          <w:rFonts w:ascii="宋体" w:hAnsi="宋体" w:cs="宋体" w:eastAsia="宋体"/>
          <w:color w:val="000000"/>
          <w:sz w:val="22"/>
        </w:rPr>
        <w:t xml:space="preserve"> 边界实现以及三组算例的 </w:t>
      </w:r>
      <w:r>
        <w:rPr>
          <w:rFonts w:ascii="Consolas" w:hAnsi="Consolas" w:cs="Consolas" w:eastAsia="宋体"/>
          <w:color w:val="1F3D50"/>
          <w:sz w:val="21"/>
        </w:rPr>
        <w:t>alpha.water</w:t>
      </w:r>
      <w:r>
        <w:rPr>
          <w:rFonts w:ascii="宋体" w:hAnsi="宋体" w:cs="宋体" w:eastAsia="宋体"/>
          <w:color w:val="000000"/>
          <w:sz w:val="22"/>
        </w:rPr>
        <w:t xml:space="preserve">、数值字典和测试记录。已有 </w:t>
      </w:r>
      <w:r>
        <w:rPr>
          <w:rFonts w:ascii="Consolas" w:hAnsi="Consolas" w:cs="Consolas" w:eastAsia="宋体"/>
          <w:color w:val="1F3D50"/>
          <w:sz w:val="21"/>
        </w:rPr>
        <w:t>all-slides.pdf</w:t>
      </w:r>
      <w:r>
        <w:rPr>
          <w:rFonts w:ascii="宋体" w:hAnsi="宋体" w:cs="宋体" w:eastAsia="宋体"/>
          <w:color w:val="000000"/>
          <w:sz w:val="22"/>
        </w:rPr>
        <w:t xml:space="preserve"> 第 874—931 页提供两相流基础；球冠几何与本讲初始场应结合代码中的角度定义阅读。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反转涡中的完整周期验证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接触角和气泡生长计算同时涉及界面输运、曲率与动量耦合。为了确定相输运算法自身的误差，本节采用给定速度的圆盘反转涡。初始水相圆盘位于</w:t>
      </w:r>
      <w:r>
        <w:rPr>
          <w:rFonts w:ascii="Consolas" w:hAnsi="Consolas" w:cs="Consolas" w:eastAsia="宋体"/>
          <w:color w:val="1F3D50"/>
          <w:sz w:val="21"/>
        </w:rPr>
        <w:t>x-z</w:t>
      </w:r>
      <w:r>
        <w:rPr>
          <w:rFonts w:ascii="宋体" w:hAnsi="宋体" w:cs="宋体" w:eastAsia="宋体"/>
          <w:color w:val="000000"/>
          <w:sz w:val="22"/>
        </w:rPr>
        <w:t>平面，半径0.15 m，圆心为(0.5,0.75) m，计算域为1 m×1 m，法向厚度0.02 m并采用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边界。速度由</w:t>
      </w:r>
      <w:r>
        <w:rPr>
          <w:rFonts w:ascii="Consolas" w:hAnsi="Consolas" w:cs="Consolas" w:eastAsia="宋体"/>
          <w:color w:val="1F3D50"/>
          <w:sz w:val="21"/>
        </w:rPr>
        <w:t>setFlow</w:t>
      </w:r>
      <w:r>
        <w:rPr>
          <w:rFonts w:ascii="宋体" w:hAnsi="宋体" w:cs="宋体" w:eastAsia="宋体"/>
          <w:color w:val="000000"/>
          <w:sz w:val="22"/>
        </w:rPr>
        <w:t>函数对象给定，其方向随</w:t>
      </w:r>
      <w:r>
        <w:rPr>
          <w:rFonts w:ascii="Consolas" w:hAnsi="Consolas" w:cs="Consolas" w:eastAsia="宋体"/>
          <w:color w:val="1F3D50"/>
          <w:sz w:val="21"/>
        </w:rPr>
        <w:t>cos(2πt/16)</w:t>
      </w:r>
      <w:r>
        <w:rPr>
          <w:rFonts w:ascii="宋体" w:hAnsi="宋体" w:cs="宋体" w:eastAsia="宋体"/>
          <w:color w:val="000000"/>
          <w:sz w:val="22"/>
        </w:rPr>
        <w:t>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前4 s将圆盘拉伸为细丝，后4 s反向输运；精确解在8 s回到初态。因此，最终场与相同网格上的初始场可以直接比较。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依次执行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setAlphaField</w:t>
      </w:r>
      <w:r>
        <w:rPr>
          <w:rFonts w:ascii="宋体" w:hAnsi="宋体" w:cs="宋体" w:eastAsia="宋体"/>
          <w:color w:val="000000"/>
          <w:sz w:val="22"/>
        </w:rPr>
        <w:t>及相应求解器。</w:t>
      </w:r>
      <w:r>
        <w:rPr>
          <w:rFonts w:ascii="Consolas" w:hAnsi="Consolas" w:cs="Consolas" w:eastAsia="宋体"/>
          <w:color w:val="1F3D50"/>
          <w:sz w:val="21"/>
        </w:rPr>
        <w:t>frozenFlow</w:t>
      </w:r>
      <w:r>
        <w:rPr>
          <w:rFonts w:ascii="宋体" w:hAnsi="宋体" w:cs="宋体" w:eastAsia="宋体"/>
          <w:color w:val="000000"/>
          <w:sz w:val="22"/>
        </w:rPr>
        <w:t>启用后，速度按规定场更新，动量方程不参与本项验证。该设置排除了压力速度耦合误差，但保留了相分数输运与界面重构误差。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N64</w:t>
      </w:r>
      <w:r>
        <w:rPr>
          <w:rFonts w:ascii="宋体" w:hAnsi="宋体" w:cs="宋体" w:eastAsia="宋体"/>
          <w:color w:val="000000"/>
          <w:sz w:val="22"/>
        </w:rPr>
        <w:t>三组分别采用</w:t>
      </w:r>
      <w:r>
        <w:rPr>
          <w:rFonts w:ascii="Consolas" w:hAnsi="Consolas" w:cs="Consolas" w:eastAsia="宋体"/>
          <w:color w:val="1F3D50"/>
          <w:sz w:val="21"/>
        </w:rPr>
        <w:t>MULES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isoAlpha</w:t>
      </w:r>
      <w:r>
        <w:rPr>
          <w:rFonts w:ascii="宋体" w:hAnsi="宋体" w:cs="宋体" w:eastAsia="宋体"/>
          <w:color w:val="000000"/>
          <w:sz w:val="22"/>
        </w:rPr>
        <w:t>和</w:t>
      </w:r>
      <w:r>
        <w:rPr>
          <w:rFonts w:ascii="Consolas" w:hAnsi="Consolas" w:cs="Consolas" w:eastAsia="宋体"/>
          <w:color w:val="1F3D50"/>
          <w:sz w:val="21"/>
        </w:rPr>
        <w:t>plicRDF</w:t>
      </w:r>
      <w:r>
        <w:rPr>
          <w:rFonts w:ascii="宋体" w:hAnsi="宋体" w:cs="宋体" w:eastAsia="宋体"/>
          <w:color w:val="000000"/>
          <w:sz w:val="22"/>
        </w:rPr>
        <w:t>，均使用64×64单元、Δt=0.002 s和同一几何切割初场。另提供</w:t>
      </w:r>
      <w:r>
        <w:rPr>
          <w:rFonts w:ascii="Consolas" w:hAnsi="Consolas" w:cs="Consolas" w:eastAsia="宋体"/>
          <w:color w:val="1F3D50"/>
          <w:sz w:val="21"/>
        </w:rPr>
        <w:t>plicRDF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N128</w:t>
      </w:r>
      <w:r>
        <w:rPr>
          <w:rFonts w:ascii="宋体" w:hAnsi="宋体" w:cs="宋体" w:eastAsia="宋体"/>
          <w:color w:val="000000"/>
          <w:sz w:val="22"/>
        </w:rPr>
        <w:t>，网格各方向加倍，时间步减半。后者反映空间和时间共同加密的效果，不能用两组数据直接计算纯空间收敛阶。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形状误差采用单元体积加权L1范数。以计算域体积归一化得到EΩ，以初始水相体积归一化得到EV。EΩ会受到计算域中大片纯相区域的影响；对于占域比例较小的圆盘，EV更便于判断误差相对于输运对象的大小。本组</w:t>
      </w:r>
      <w:r>
        <w:rPr>
          <w:rFonts w:ascii="Consolas" w:hAnsi="Consolas" w:cs="Consolas" w:eastAsia="宋体"/>
          <w:color w:val="1F3D50"/>
          <w:sz w:val="21"/>
        </w:rPr>
        <w:t>MULES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N64</w:t>
      </w:r>
      <w:r>
        <w:rPr>
          <w:rFonts w:ascii="宋体" w:hAnsi="宋体" w:cs="宋体" w:eastAsia="宋体"/>
          <w:color w:val="000000"/>
          <w:sz w:val="22"/>
        </w:rPr>
        <w:t>的EΩ为0.028829，EV为0.408722。若只报告2.88%的计算域误差，容易低估圆盘变形程度。报告中必须写明分子、分母和统计时刻。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完整周期后，</w:t>
      </w:r>
      <w:r>
        <w:rPr>
          <w:rFonts w:ascii="Consolas" w:hAnsi="Consolas" w:cs="Consolas" w:eastAsia="宋体"/>
          <w:color w:val="1F3D50"/>
          <w:sz w:val="21"/>
        </w:rPr>
        <w:t>N64</w:t>
      </w:r>
      <w:r>
        <w:rPr>
          <w:rFonts w:ascii="宋体" w:hAnsi="宋体" w:cs="宋体" w:eastAsia="宋体"/>
          <w:color w:val="000000"/>
          <w:sz w:val="22"/>
        </w:rPr>
        <w:t>的</w:t>
      </w:r>
      <w:r>
        <w:rPr>
          <w:rFonts w:ascii="Consolas" w:hAnsi="Consolas" w:cs="Consolas" w:eastAsia="宋体"/>
          <w:color w:val="1F3D50"/>
          <w:sz w:val="21"/>
        </w:rPr>
        <w:t>isoAlpha</w:t>
      </w:r>
      <w:r>
        <w:rPr>
          <w:rFonts w:ascii="宋体" w:hAnsi="宋体" w:cs="宋体" w:eastAsia="宋体"/>
          <w:color w:val="000000"/>
          <w:sz w:val="22"/>
        </w:rPr>
        <w:t>与</w:t>
      </w:r>
      <w:r>
        <w:rPr>
          <w:rFonts w:ascii="Consolas" w:hAnsi="Consolas" w:cs="Consolas" w:eastAsia="宋体"/>
          <w:color w:val="1F3D50"/>
          <w:sz w:val="21"/>
        </w:rPr>
        <w:t>plicRDF</w:t>
      </w:r>
      <w:r>
        <w:rPr>
          <w:rFonts w:ascii="宋体" w:hAnsi="宋体" w:cs="宋体" w:eastAsia="宋体"/>
          <w:color w:val="000000"/>
          <w:sz w:val="22"/>
        </w:rPr>
        <w:t>相体积归一化误差分别为22.407%和28.112%，两者体积漂移均接近浮点舍入量级。</w:t>
      </w:r>
      <w:r>
        <w:rPr>
          <w:rFonts w:ascii="Consolas" w:hAnsi="Consolas" w:cs="Consolas" w:eastAsia="宋体"/>
          <w:color w:val="1F3D50"/>
          <w:sz w:val="21"/>
        </w:rPr>
        <w:t>MULES</w:t>
      </w:r>
      <w:r>
        <w:rPr>
          <w:rFonts w:ascii="宋体" w:hAnsi="宋体" w:cs="宋体" w:eastAsia="宋体"/>
          <w:color w:val="000000"/>
          <w:sz w:val="22"/>
        </w:rPr>
        <w:t>的体积相对漂移约1.49×10⁻⁸，最终最大相分数降至0.91476，说明圆盘峰值受到明显扩散。以0.001&lt;α&lt;0.999定义混合单元，三者分别为535、95和81个。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plicRDF</w:t>
      </w:r>
      <w:r>
        <w:rPr>
          <w:rFonts w:ascii="宋体" w:hAnsi="宋体" w:cs="宋体" w:eastAsia="宋体"/>
          <w:color w:val="000000"/>
          <w:sz w:val="22"/>
        </w:rPr>
        <w:t>的混合单元较少，但其形状恢复L1误差大于同网格</w:t>
      </w:r>
      <w:r>
        <w:rPr>
          <w:rFonts w:ascii="Consolas" w:hAnsi="Consolas" w:cs="Consolas" w:eastAsia="宋体"/>
          <w:color w:val="1F3D50"/>
          <w:sz w:val="21"/>
        </w:rPr>
        <w:t>isoAlpha</w:t>
      </w:r>
      <w:r>
        <w:rPr>
          <w:rFonts w:ascii="宋体" w:hAnsi="宋体" w:cs="宋体" w:eastAsia="宋体"/>
          <w:color w:val="000000"/>
          <w:sz w:val="22"/>
        </w:rPr>
        <w:t>；界面锐利程度与位置、形状精度应分别评价。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plicRDF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N128</w:t>
      </w:r>
      <w:r>
        <w:rPr>
          <w:rFonts w:ascii="宋体" w:hAnsi="宋体" w:cs="宋体" w:eastAsia="宋体"/>
          <w:color w:val="000000"/>
          <w:sz w:val="22"/>
        </w:rPr>
        <w:t>的EV降至4.127%，明显低于</w:t>
      </w:r>
      <w:r>
        <w:rPr>
          <w:rFonts w:ascii="Consolas" w:hAnsi="Consolas" w:cs="Consolas" w:eastAsia="宋体"/>
          <w:color w:val="1F3D50"/>
          <w:sz w:val="21"/>
        </w:rPr>
        <w:t>N64</w:t>
      </w:r>
      <w:r>
        <w:rPr>
          <w:rFonts w:ascii="宋体" w:hAnsi="宋体" w:cs="宋体" w:eastAsia="宋体"/>
          <w:color w:val="000000"/>
          <w:sz w:val="22"/>
        </w:rPr>
        <w:t>。最大拉伸时的细丝是否被充分分辨，是理解这一变化的重要依据。应在t=4 s图上叠加网格，测量最薄部分所跨单元数；当细丝宽度接近单元尺度时，体积守恒仍可成立，局部连接与回卷形状却可能发生较大误差。结果讨论应将0、4、8 s三个时刻结合，而非只比较最后一张界面图。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计算结果与数据来源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下列图表由本讲独立算例的实际保存场、采样数据或原始日志生成。各图的计算条件与误差定义见前述案例分析，原始数值保存在本讲测试结果。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65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vortex_MULES_N6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65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vortex_isoAlpha_N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65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vortex_plicRDF_N6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65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研究案例_vortex_plicRDF_N1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根据实际保存场计算，定义与统计区间见本例</w:t>
      </w:r>
      <w:r>
        <w:rPr>
          <w:rFonts w:ascii="Consolas" w:hAnsi="Consolas" w:cs="Consolas" w:eastAsia="宋体"/>
          <w:color w:val="1F3D50"/>
          <w:sz w:val="21"/>
        </w:rPr>
        <w:t>README</w:t>
      </w:r>
      <w:r>
        <w:rPr>
          <w:rFonts w:ascii="宋体" w:hAnsi="宋体" w:cs="宋体" w:eastAsia="宋体"/>
          <w:color w:val="000000"/>
          <w:sz w:val="22"/>
        </w:rPr>
        <w:t>和数值检查。</w:t>
      </w:r>
    </w:p>
    <w:sectPr w:rsidR="00FC693F" w:rsidRPr="0006063C" w:rsidSect="00034616">
      <w:footerReference w:type="default" r:id="rId16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第20讲 VOF与接触角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第20讲 VOF与接触角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