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第26讲 电极气泡：产气与生长</w:t>
      </w:r>
    </w:p>
    <w:p>
      <w:pPr>
        <w:spacing w:after="160"/>
      </w:pPr>
      <w:r>
        <w:rPr>
          <w:rFonts w:ascii="宋体" w:hAnsi="宋体" w:cs="宋体" w:eastAsia="宋体"/>
          <w:color w:val="000000"/>
          <w:sz w:val="22"/>
        </w:rPr>
        <w:t>配套算例位于原课程“26_电极气泡_产气与生长”目录。文中相对路径以该讲目录或已注明的算例目录为准。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keepLines w:val="0"/>
        <w:widowControl/>
        <w:spacing w:line="336" w:lineRule="auto" w:after="120"/>
        <w:ind w:firstLine="420"/>
      </w:pPr>
      <w:r>
        <w:rPr>
          <w:rFonts w:ascii="宋体" w:hAnsi="宋体" w:cs="宋体" w:eastAsia="宋体"/>
          <w:color w:val="000000"/>
          <w:sz w:val="22"/>
        </w:rPr>
        <w:t>本讲以</w:t>
      </w:r>
      <w:r>
        <w:rPr>
          <w:rFonts w:ascii="Consolas" w:hAnsi="Consolas" w:cs="Consolas" w:eastAsia="宋体"/>
          <w:color w:val="1F3D50"/>
          <w:sz w:val="21"/>
        </w:rPr>
        <w:t>interIsoFoam</w:t>
      </w:r>
      <w:r>
        <w:rPr>
          <w:rFonts w:ascii="宋体" w:hAnsi="宋体" w:cs="宋体" w:eastAsia="宋体"/>
          <w:color w:val="000000"/>
          <w:sz w:val="22"/>
        </w:rPr>
        <w:t>的几何界面输运进行给定产气量的气泡生长，比较均匀与分区润湿及两种初始化方法。恒通量扩散和固定界面分配模型分别用于检验溶解态输运及相间平衡，相关方程按各自案例说明。</w:t>
      </w:r>
    </w:p>
    <w:p>
      <w:pPr>
        <w:pStyle w:val="Heading1"/>
        <w:keepNext/>
        <w:spacing w:before="260" w:after="120"/>
      </w:pPr>
      <w:r>
        <w:rPr>
          <w:rFonts w:ascii="黑体" w:hAnsi="黑体" w:cs="黑体" w:eastAsia="黑体"/>
          <w:color w:val="000000"/>
          <w:sz w:val="28"/>
        </w:rPr>
        <w:t>1 电流 溶解气体与气泡体积</w:t>
      </w:r>
    </w:p>
    <w:p>
      <w:pPr>
        <w:keepLines w:val="0"/>
        <w:widowControl/>
        <w:spacing w:line="336" w:lineRule="auto" w:after="120"/>
        <w:ind w:firstLine="420"/>
      </w:pPr>
      <w:r>
        <w:rPr>
          <w:rFonts w:ascii="宋体" w:hAnsi="宋体" w:cs="宋体" w:eastAsia="宋体"/>
          <w:color w:val="000000"/>
          <w:sz w:val="22"/>
        </w:rPr>
        <w:t>反应产气分别进入溶解相与气泡，需区分反应摩尔率、溶解气体库存及泡内气体量。扩散、相间传质和界面运动连接这些过程，各变量应独立定义并核对收支。</w:t>
      </w:r>
    </w:p>
    <w:p>
      <w:pPr>
        <w:keepLines w:val="0"/>
        <w:widowControl/>
        <w:spacing w:line="336" w:lineRule="auto" w:after="120"/>
        <w:ind w:firstLine="420"/>
      </w:pPr>
      <w:r>
        <w:rPr>
          <w:rFonts w:ascii="宋体" w:hAnsi="宋体" w:cs="宋体" w:eastAsia="宋体"/>
          <w:color w:val="000000"/>
          <w:sz w:val="22"/>
        </w:rPr>
        <w:t xml:space="preserve">本讲分别设置反应通量扩散、给定体积流量生长及固定界面一维浓度分配三类计算。前两类采用 </w:t>
      </w:r>
      <w:r>
        <w:rPr>
          <w:rFonts w:ascii="Consolas" w:hAnsi="Consolas" w:cs="Consolas" w:eastAsia="宋体"/>
          <w:color w:val="1F3D50"/>
          <w:sz w:val="21"/>
        </w:rPr>
        <w:t>OpenFOAM</w:t>
      </w:r>
      <w:r>
        <w:rPr>
          <w:rFonts w:ascii="宋体" w:hAnsi="宋体" w:cs="宋体" w:eastAsia="宋体"/>
          <w:color w:val="000000"/>
          <w:sz w:val="22"/>
        </w:rPr>
        <w:t xml:space="preserve">，第三类采用独立 </w:t>
      </w:r>
      <w:r>
        <w:rPr>
          <w:rFonts w:ascii="Consolas" w:hAnsi="Consolas" w:cs="Consolas" w:eastAsia="宋体"/>
          <w:color w:val="1F3D50"/>
          <w:sz w:val="21"/>
        </w:rPr>
        <w:t>Python</w:t>
      </w:r>
      <w:r>
        <w:rPr>
          <w:rFonts w:ascii="宋体" w:hAnsi="宋体" w:cs="宋体" w:eastAsia="宋体"/>
          <w:color w:val="000000"/>
          <w:sz w:val="22"/>
        </w:rPr>
        <w:t xml:space="preserve"> 有限体积程序。各自用解析关系检查单位、总量守恒和分配条件，为移动界面耦合提供验证基础。</w:t>
      </w:r>
    </w:p>
    <w:p>
      <w:pPr>
        <w:keepLines w:val="0"/>
        <w:widowControl/>
        <w:spacing w:line="336" w:lineRule="auto" w:after="120"/>
        <w:ind w:firstLine="420"/>
      </w:pPr>
      <w:r>
        <w:rPr>
          <w:rFonts w:ascii="宋体" w:hAnsi="宋体" w:cs="宋体" w:eastAsia="宋体"/>
          <w:color w:val="000000"/>
          <w:sz w:val="22"/>
        </w:rPr>
        <w:t>等效注气模型直接给定进入气泡的体积流量，可分析形状与受力；跨界面传质模型则需求解溶解浓度、界面通量及体积响应。模型选择应与研究目标、可用参数和验证数据相匹配。</w:t>
      </w:r>
    </w:p>
    <w:p>
      <w:pPr>
        <w:pStyle w:val="Heading1"/>
        <w:keepNext/>
        <w:spacing w:before="260" w:after="120"/>
      </w:pPr>
      <w:r>
        <w:rPr>
          <w:rFonts w:ascii="黑体" w:hAnsi="黑体" w:cs="黑体" w:eastAsia="黑体"/>
          <w:color w:val="000000"/>
          <w:sz w:val="28"/>
        </w:rPr>
        <w:t>2 Faraday定律与单位换算</w:t>
      </w:r>
    </w:p>
    <w:p>
      <w:pPr>
        <w:keepLines w:val="0"/>
        <w:widowControl/>
        <w:spacing w:line="336" w:lineRule="auto" w:after="120"/>
        <w:ind w:firstLine="420"/>
      </w:pPr>
      <w:r>
        <w:rPr>
          <w:rFonts w:ascii="Consolas" w:hAnsi="Consolas" w:cs="Consolas" w:eastAsia="宋体"/>
          <w:color w:val="1F3D50"/>
          <w:sz w:val="21"/>
        </w:rPr>
        <w:t>Faraday</w:t>
      </w:r>
      <w:r>
        <w:rPr>
          <w:rFonts w:ascii="宋体" w:hAnsi="宋体" w:cs="宋体" w:eastAsia="宋体"/>
          <w:color w:val="000000"/>
          <w:sz w:val="22"/>
        </w:rPr>
        <w:t xml:space="preserve"> 关系 N=j/(zF)，F=96485.33212 </w:t>
      </w:r>
      <w:r>
        <w:rPr>
          <w:rFonts w:ascii="Consolas" w:hAnsi="Consolas" w:cs="Consolas" w:eastAsia="宋体"/>
          <w:color w:val="1F3D50"/>
          <w:sz w:val="21"/>
        </w:rPr>
        <w:t>C/mol</w:t>
      </w:r>
      <w:r>
        <w:rPr>
          <w:rFonts w:ascii="宋体" w:hAnsi="宋体" w:cs="宋体" w:eastAsia="宋体"/>
          <w:color w:val="000000"/>
          <w:sz w:val="22"/>
        </w:rPr>
        <w:t xml:space="preserve">，z 为每摩尔产物消耗的电子摩尔数。氢气 z=2，j=100 </w:t>
      </w:r>
      <w:r>
        <w:rPr>
          <w:rFonts w:ascii="Consolas" w:hAnsi="Consolas" w:cs="Consolas" w:eastAsia="宋体"/>
          <w:color w:val="1F3D50"/>
          <w:sz w:val="21"/>
        </w:rPr>
        <w:t>A/m</w:t>
      </w:r>
      <w:r>
        <w:rPr>
          <w:rFonts w:ascii="宋体" w:hAnsi="宋体" w:cs="宋体" w:eastAsia="宋体"/>
          <w:color w:val="000000"/>
          <w:sz w:val="22"/>
        </w:rPr>
        <w:t xml:space="preserve">² 时 N=5.18213×10⁻⁴ </w:t>
      </w:r>
      <w:r>
        <w:rPr>
          <w:rFonts w:ascii="Consolas" w:hAnsi="Consolas" w:cs="Consolas" w:eastAsia="宋体"/>
          <w:color w:val="1F3D50"/>
          <w:sz w:val="21"/>
        </w:rPr>
        <w:t>mol/(m²·s)</w:t>
      </w:r>
      <w:r>
        <w:rPr>
          <w:rFonts w:ascii="宋体" w:hAnsi="宋体" w:cs="宋体" w:eastAsia="宋体"/>
          <w:color w:val="000000"/>
          <w:sz w:val="22"/>
        </w:rPr>
        <w:t>。电流密度与面积须采用一致单位。</w:t>
      </w:r>
    </w:p>
    <w:p>
      <w:pPr>
        <w:keepLines w:val="0"/>
        <w:widowControl/>
        <w:spacing w:line="336" w:lineRule="auto" w:after="120"/>
        <w:ind w:firstLine="420"/>
      </w:pPr>
      <w:r>
        <w:rPr>
          <w:rFonts w:ascii="宋体" w:hAnsi="宋体" w:cs="宋体" w:eastAsia="宋体"/>
          <w:color w:val="000000"/>
          <w:sz w:val="22"/>
        </w:rPr>
        <w:t>总产气摩尔率由摩尔通量乘电极面积得到。电流仅部分用于目标反应时，引入电流效率；生成气体仅部分进入气泡时，另定义气泡分配比例。两者分别描述反应利用与相间分配，公式中应明确区分。本讲通量验证采用给定产气通量。</w:t>
      </w:r>
    </w:p>
    <w:p>
      <w:pPr>
        <w:keepLines w:val="0"/>
        <w:widowControl/>
        <w:spacing w:line="336" w:lineRule="auto" w:after="120"/>
        <w:ind w:firstLine="420"/>
      </w:pPr>
      <w:r>
        <w:rPr>
          <w:rFonts w:ascii="宋体" w:hAnsi="宋体" w:cs="宋体" w:eastAsia="宋体"/>
          <w:color w:val="000000"/>
          <w:sz w:val="22"/>
        </w:rPr>
        <w:t>理想气体换算为 Q=ṅ</w:t>
      </w:r>
      <w:r>
        <w:rPr>
          <w:rFonts w:ascii="Consolas" w:hAnsi="Consolas" w:cs="Consolas" w:eastAsia="宋体"/>
          <w:color w:val="1F3D50"/>
          <w:sz w:val="21"/>
        </w:rPr>
        <w:t>RT/pg</w:t>
      </w:r>
      <w:r>
        <w:rPr>
          <w:rFonts w:ascii="宋体" w:hAnsi="宋体" w:cs="宋体" w:eastAsia="宋体"/>
          <w:color w:val="000000"/>
          <w:sz w:val="22"/>
        </w:rPr>
        <w:t>，其中 pg 为绝对压力，T 为热力学温度。以 ηg 表示进入气泡的比例，可写 Q=η</w:t>
      </w:r>
      <w:r>
        <w:rPr>
          <w:rFonts w:ascii="Consolas" w:hAnsi="Consolas" w:cs="Consolas" w:eastAsia="宋体"/>
          <w:color w:val="1F3D50"/>
          <w:sz w:val="21"/>
        </w:rPr>
        <w:t>gjAeRT/(zFpg)</w:t>
      </w:r>
      <w:r>
        <w:rPr>
          <w:rFonts w:ascii="宋体" w:hAnsi="宋体" w:cs="宋体" w:eastAsia="宋体"/>
          <w:color w:val="000000"/>
          <w:sz w:val="22"/>
        </w:rPr>
        <w:t xml:space="preserve">。电极面积 Ae 决定总产气量，孔口面积 </w:t>
      </w:r>
      <w:r>
        <w:rPr>
          <w:rFonts w:ascii="Consolas" w:hAnsi="Consolas" w:cs="Consolas" w:eastAsia="宋体"/>
          <w:color w:val="1F3D50"/>
          <w:sz w:val="21"/>
        </w:rPr>
        <w:t>Ain</w:t>
      </w:r>
      <w:r>
        <w:rPr>
          <w:rFonts w:ascii="宋体" w:hAnsi="宋体" w:cs="宋体" w:eastAsia="宋体"/>
          <w:color w:val="000000"/>
          <w:sz w:val="22"/>
        </w:rPr>
        <w:t xml:space="preserve"> 决定 </w:t>
      </w:r>
      <w:r>
        <w:rPr>
          <w:rFonts w:ascii="Consolas" w:hAnsi="Consolas" w:cs="Consolas" w:eastAsia="宋体"/>
          <w:color w:val="1F3D50"/>
          <w:sz w:val="21"/>
        </w:rPr>
        <w:t>Uin</w:t>
      </w:r>
      <w:r>
        <w:rPr>
          <w:rFonts w:ascii="宋体" w:hAnsi="宋体" w:cs="宋体" w:eastAsia="宋体"/>
          <w:color w:val="000000"/>
          <w:sz w:val="22"/>
        </w:rPr>
        <w:t>=</w:t>
      </w:r>
      <w:r>
        <w:rPr>
          <w:rFonts w:ascii="Consolas" w:hAnsi="Consolas" w:cs="Consolas" w:eastAsia="宋体"/>
          <w:color w:val="1F3D50"/>
          <w:sz w:val="21"/>
        </w:rPr>
        <w:t>Q/Ain</w:t>
      </w:r>
      <w:r>
        <w:rPr>
          <w:rFonts w:ascii="宋体" w:hAnsi="宋体" w:cs="宋体" w:eastAsia="宋体"/>
          <w:color w:val="000000"/>
          <w:sz w:val="22"/>
        </w:rPr>
        <w:t>，二者分别定义。</w:t>
      </w:r>
    </w:p>
    <w:p>
      <w:pPr>
        <w:keepLines w:val="0"/>
        <w:widowControl/>
        <w:spacing w:line="336" w:lineRule="auto" w:after="120"/>
        <w:ind w:firstLine="420"/>
      </w:pPr>
      <w:r>
        <w:rPr>
          <w:rFonts w:ascii="宋体" w:hAnsi="宋体" w:cs="宋体" w:eastAsia="宋体"/>
          <w:color w:val="000000"/>
          <w:sz w:val="22"/>
        </w:rPr>
        <w:t>孔半径 0.25 mm、</w:t>
      </w:r>
      <w:r>
        <w:rPr>
          <w:rFonts w:ascii="Consolas" w:hAnsi="Consolas" w:cs="Consolas" w:eastAsia="宋体"/>
          <w:color w:val="1F3D50"/>
          <w:sz w:val="21"/>
        </w:rPr>
        <w:t>Uin</w:t>
      </w:r>
      <w:r>
        <w:rPr>
          <w:rFonts w:ascii="宋体" w:hAnsi="宋体" w:cs="宋体" w:eastAsia="宋体"/>
          <w:color w:val="000000"/>
          <w:sz w:val="22"/>
        </w:rPr>
        <w:t xml:space="preserve">=0.05 </w:t>
      </w:r>
      <w:r>
        <w:rPr>
          <w:rFonts w:ascii="Consolas" w:hAnsi="Consolas" w:cs="Consolas" w:eastAsia="宋体"/>
          <w:color w:val="1F3D50"/>
          <w:sz w:val="21"/>
        </w:rPr>
        <w:t>m/s</w:t>
      </w:r>
      <w:r>
        <w:rPr>
          <w:rFonts w:ascii="宋体" w:hAnsi="宋体" w:cs="宋体" w:eastAsia="宋体"/>
          <w:color w:val="000000"/>
          <w:sz w:val="22"/>
        </w:rPr>
        <w:t xml:space="preserve"> 时，全圆孔面积约为 1.9635×10⁻⁷ m²，Q≈9.8175×10⁻⁹ m³/s。在 298.15 K、101325 Pa 下，对应摩尔率约 4.013×10⁻⁷ </w:t>
      </w:r>
      <w:r>
        <w:rPr>
          <w:rFonts w:ascii="Consolas" w:hAnsi="Consolas" w:cs="Consolas" w:eastAsia="宋体"/>
          <w:color w:val="1F3D50"/>
          <w:sz w:val="21"/>
        </w:rPr>
        <w:t>mol/s</w:t>
      </w:r>
      <w:r>
        <w:rPr>
          <w:rFonts w:ascii="宋体" w:hAnsi="宋体" w:cs="宋体" w:eastAsia="宋体"/>
          <w:color w:val="000000"/>
          <w:sz w:val="22"/>
        </w:rPr>
        <w:t>、析氢等效电流约 0.07744 A。这是由注气速度反算的电流，注气求解器未同时求解电极反应。</w:t>
      </w:r>
    </w:p>
    <w:p>
      <w:pPr>
        <w:pStyle w:val="Heading1"/>
        <w:keepNext/>
        <w:spacing w:before="260" w:after="120"/>
      </w:pPr>
      <w:r>
        <w:rPr>
          <w:rFonts w:ascii="黑体" w:hAnsi="黑体" w:cs="黑体" w:eastAsia="黑体"/>
          <w:color w:val="000000"/>
          <w:sz w:val="28"/>
        </w:rPr>
        <w:t>3 反应通量的扩散验证</w:t>
      </w:r>
    </w:p>
    <w:p>
      <w:pPr>
        <w:keepLines w:val="0"/>
        <w:widowControl/>
        <w:spacing w:line="336" w:lineRule="auto" w:after="120"/>
        <w:ind w:firstLine="420"/>
      </w:pPr>
      <w:r>
        <w:rPr>
          <w:rFonts w:ascii="Consolas" w:hAnsi="Consolas" w:cs="Consolas" w:eastAsia="宋体"/>
          <w:color w:val="1F3D50"/>
          <w:sz w:val="21"/>
        </w:rPr>
        <w:t>Faraday_flux_1D</w:t>
      </w:r>
      <w:r>
        <w:rPr>
          <w:rFonts w:ascii="宋体" w:hAnsi="宋体" w:cs="宋体" w:eastAsia="宋体"/>
          <w:color w:val="000000"/>
          <w:sz w:val="22"/>
        </w:rPr>
        <w:t xml:space="preserve"> 取 D=4.5×10⁻⁹ m²/s、初浓度零，</w:t>
      </w:r>
      <w:r>
        <w:rPr>
          <w:rFonts w:ascii="Consolas" w:hAnsi="Consolas" w:cs="Consolas" w:eastAsia="宋体"/>
          <w:color w:val="1F3D50"/>
          <w:sz w:val="21"/>
        </w:rPr>
        <w:t>laplacianFoam</w:t>
      </w:r>
      <w:r>
        <w:rPr>
          <w:rFonts w:ascii="宋体" w:hAnsi="宋体" w:cs="宋体" w:eastAsia="宋体"/>
          <w:color w:val="000000"/>
          <w:sz w:val="22"/>
        </w:rPr>
        <w:t xml:space="preserve"> 的 T 表示 </w:t>
      </w:r>
      <w:r>
        <w:rPr>
          <w:rFonts w:ascii="Consolas" w:hAnsi="Consolas" w:cs="Consolas" w:eastAsia="宋体"/>
          <w:color w:val="1F3D50"/>
          <w:sz w:val="21"/>
        </w:rPr>
        <w:t>mol/m</w:t>
      </w:r>
      <w:r>
        <w:rPr>
          <w:rFonts w:ascii="宋体" w:hAnsi="宋体" w:cs="宋体" w:eastAsia="宋体"/>
          <w:color w:val="000000"/>
          <w:sz w:val="22"/>
        </w:rPr>
        <w:t xml:space="preserve">³ 浓度。底部向内输入对应外法向梯度 </w:t>
      </w:r>
      <w:r>
        <w:rPr>
          <w:rFonts w:ascii="Consolas" w:hAnsi="Consolas" w:cs="Consolas" w:eastAsia="宋体"/>
          <w:color w:val="1F3D50"/>
          <w:sz w:val="21"/>
        </w:rPr>
        <w:t>N/D</w:t>
      </w:r>
      <w:r>
        <w:rPr>
          <w:rFonts w:ascii="宋体" w:hAnsi="宋体" w:cs="宋体" w:eastAsia="宋体"/>
          <w:color w:val="000000"/>
          <w:sz w:val="22"/>
        </w:rPr>
        <w:t xml:space="preserve">=115158.551740197 </w:t>
      </w:r>
      <w:r>
        <w:rPr>
          <w:rFonts w:ascii="Consolas" w:hAnsi="Consolas" w:cs="Consolas" w:eastAsia="宋体"/>
          <w:color w:val="1F3D50"/>
          <w:sz w:val="21"/>
        </w:rPr>
        <w:t>mol/m</w:t>
      </w:r>
      <w:r>
        <w:rPr>
          <w:rFonts w:ascii="宋体" w:hAnsi="宋体" w:cs="宋体" w:eastAsia="宋体"/>
          <w:color w:val="000000"/>
          <w:sz w:val="22"/>
        </w:rPr>
        <w:t>⁴，</w:t>
      </w:r>
      <w:r>
        <w:rPr>
          <w:rFonts w:ascii="Consolas" w:hAnsi="Consolas" w:cs="Consolas" w:eastAsia="宋体"/>
          <w:color w:val="1F3D50"/>
          <w:sz w:val="21"/>
        </w:rPr>
        <w:t>fixedGradient</w:t>
      </w:r>
      <w:r>
        <w:rPr>
          <w:rFonts w:ascii="宋体" w:hAnsi="宋体" w:cs="宋体" w:eastAsia="宋体"/>
          <w:color w:val="000000"/>
          <w:sz w:val="22"/>
        </w:rPr>
        <w:t xml:space="preserve"> 取正值。</w:t>
      </w:r>
    </w:p>
    <w:p>
      <w:pPr>
        <w:keepLines w:val="0"/>
        <w:widowControl/>
        <w:spacing w:line="336" w:lineRule="auto" w:after="120"/>
        <w:ind w:firstLine="420"/>
      </w:pPr>
      <w:r>
        <w:rPr>
          <w:rFonts w:ascii="宋体" w:hAnsi="宋体" w:cs="宋体" w:eastAsia="宋体"/>
          <w:color w:val="000000"/>
          <w:sz w:val="22"/>
        </w:rPr>
        <w:t xml:space="preserve">半无限域恒通量扩散的表面浓度为 2N√[t/(πD)]。t=1 s 时解析值为 8.7168086125 </w:t>
      </w:r>
      <w:r>
        <w:rPr>
          <w:rFonts w:ascii="Consolas" w:hAnsi="Consolas" w:cs="Consolas" w:eastAsia="宋体"/>
          <w:color w:val="1F3D50"/>
          <w:sz w:val="21"/>
        </w:rPr>
        <w:t>mol/m</w:t>
      </w:r>
      <w:r>
        <w:rPr>
          <w:rFonts w:ascii="宋体" w:hAnsi="宋体" w:cs="宋体" w:eastAsia="宋体"/>
          <w:color w:val="000000"/>
          <w:sz w:val="22"/>
        </w:rPr>
        <w:t xml:space="preserve">³，数值壁面外推值为 8.7161016738 </w:t>
      </w:r>
      <w:r>
        <w:rPr>
          <w:rFonts w:ascii="Consolas" w:hAnsi="Consolas" w:cs="Consolas" w:eastAsia="宋体"/>
          <w:color w:val="1F3D50"/>
          <w:sz w:val="21"/>
        </w:rPr>
        <w:t>mol/m</w:t>
      </w:r>
      <w:r>
        <w:rPr>
          <w:rFonts w:ascii="宋体" w:hAnsi="宋体" w:cs="宋体" w:eastAsia="宋体"/>
          <w:color w:val="000000"/>
          <w:sz w:val="22"/>
        </w:rPr>
        <w:t>³，相对误差约 0.00811%。单位面积总量满足 ∫</w:t>
      </w:r>
      <w:r>
        <w:rPr>
          <w:rFonts w:ascii="Consolas" w:hAnsi="Consolas" w:cs="Consolas" w:eastAsia="宋体"/>
          <w:color w:val="1F3D50"/>
          <w:sz w:val="21"/>
        </w:rPr>
        <w:t>cdy</w:t>
      </w:r>
      <w:r>
        <w:rPr>
          <w:rFonts w:ascii="宋体" w:hAnsi="宋体" w:cs="宋体" w:eastAsia="宋体"/>
          <w:color w:val="000000"/>
          <w:sz w:val="22"/>
        </w:rPr>
        <w:t>=Nt，当前数值检查的相对误差约为 1.02×10⁻¹³。</w:t>
      </w:r>
    </w:p>
    <w:p>
      <w:pPr>
        <w:keepNext/>
        <w:spacing w:before="120" w:after="120"/>
        <w:jc w:val="center"/>
      </w:pPr>
      <w:r>
        <w:drawing>
          <wp:inline xmlns:a="http://schemas.openxmlformats.org/drawingml/2006/main" xmlns:pic="http://schemas.openxmlformats.org/drawingml/2006/picture">
            <wp:extent cx="5900467" cy="3474719"/>
            <wp:docPr id="1" name="Picture 1"/>
            <wp:cNvGraphicFramePr>
              <a:graphicFrameLocks noChangeAspect="1"/>
            </wp:cNvGraphicFramePr>
            <a:graphic>
              <a:graphicData uri="http://schemas.openxmlformats.org/drawingml/2006/picture">
                <pic:pic>
                  <pic:nvPicPr>
                    <pic:cNvPr id="0" name="恒通量扩散解析验证.png"/>
                    <pic:cNvPicPr/>
                  </pic:nvPicPr>
                  <pic:blipFill>
                    <a:blip r:embed="rId9"/>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图中比较的是给定产气通量下的浓度剖面。第一层单元中心与壁面位置不同，壁面值使用已知梯度作半网格外推。浓度场尚未包含气液移动界面，因此本例验证的是反应通量的扩散输入与守恒。</w:t>
      </w:r>
    </w:p>
    <w:p>
      <w:pPr>
        <w:keepLines w:val="0"/>
        <w:widowControl/>
        <w:spacing w:line="336" w:lineRule="auto" w:after="120"/>
        <w:ind w:firstLine="420"/>
      </w:pPr>
      <w:r>
        <w:rPr>
          <w:rFonts w:ascii="Consolas" w:hAnsi="Consolas" w:cs="Consolas" w:eastAsia="宋体"/>
          <w:color w:val="1F3D50"/>
          <w:sz w:val="21"/>
        </w:rPr>
        <w:t>Faraday_flux_wedge</w:t>
      </w:r>
      <w:r>
        <w:rPr>
          <w:rFonts w:ascii="宋体" w:hAnsi="宋体" w:cs="宋体" w:eastAsia="宋体"/>
          <w:color w:val="000000"/>
          <w:sz w:val="22"/>
        </w:rPr>
        <w:t xml:space="preserve"> 将通量施加于局部电极区域，包含径向扩散，计算至 0.05 s。最终最大单元浓度约为 1.78719726733 </w:t>
      </w:r>
      <w:r>
        <w:rPr>
          <w:rFonts w:ascii="Consolas" w:hAnsi="Consolas" w:cs="Consolas" w:eastAsia="宋体"/>
          <w:color w:val="1F3D50"/>
          <w:sz w:val="21"/>
        </w:rPr>
        <w:t>mol/m</w:t>
      </w:r>
      <w:r>
        <w:rPr>
          <w:rFonts w:ascii="宋体" w:hAnsi="宋体" w:cs="宋体" w:eastAsia="宋体"/>
          <w:color w:val="000000"/>
          <w:sz w:val="22"/>
        </w:rPr>
        <w:t>³。该结果应结合局部电极面积与计算时间分析，不能直接与一维例一秒时的最大值比较。轴对称总量需要使用实际楔形体积和全周换算。</w:t>
      </w:r>
    </w:p>
    <w:p>
      <w:pPr>
        <w:pStyle w:val="Heading1"/>
        <w:keepNext/>
        <w:spacing w:before="260" w:after="120"/>
      </w:pPr>
      <w:r>
        <w:rPr>
          <w:rFonts w:ascii="黑体" w:hAnsi="黑体" w:cs="黑体" w:eastAsia="黑体"/>
          <w:color w:val="000000"/>
          <w:sz w:val="28"/>
        </w:rPr>
        <w:t>4 等效注气边界与初始气泡</w:t>
      </w:r>
    </w:p>
    <w:p>
      <w:pPr>
        <w:keepLines w:val="0"/>
        <w:widowControl/>
        <w:spacing w:line="336" w:lineRule="auto" w:after="120"/>
        <w:ind w:firstLine="420"/>
      </w:pPr>
      <w:r>
        <w:rPr>
          <w:rFonts w:ascii="宋体" w:hAnsi="宋体" w:cs="宋体" w:eastAsia="宋体"/>
          <w:color w:val="000000"/>
          <w:sz w:val="22"/>
        </w:rPr>
        <w:t xml:space="preserve">注气例以 </w:t>
      </w:r>
      <w:r>
        <w:rPr>
          <w:rFonts w:ascii="Consolas" w:hAnsi="Consolas" w:cs="Consolas" w:eastAsia="宋体"/>
          <w:color w:val="1F3D50"/>
          <w:sz w:val="21"/>
        </w:rPr>
        <w:t>interFoam</w:t>
      </w:r>
      <w:r>
        <w:rPr>
          <w:rFonts w:ascii="宋体" w:hAnsi="宋体" w:cs="宋体" w:eastAsia="宋体"/>
          <w:color w:val="000000"/>
          <w:sz w:val="22"/>
        </w:rPr>
        <w:t xml:space="preserve"> 求水和氢气，电极入口 U 沿正 y 为 0.05 </w:t>
      </w:r>
      <w:r>
        <w:rPr>
          <w:rFonts w:ascii="Consolas" w:hAnsi="Consolas" w:cs="Consolas" w:eastAsia="宋体"/>
          <w:color w:val="1F3D50"/>
          <w:sz w:val="21"/>
        </w:rPr>
        <w:t>m/s</w:t>
      </w:r>
      <w:r>
        <w:rPr>
          <w:rFonts w:ascii="宋体" w:hAnsi="宋体" w:cs="宋体" w:eastAsia="宋体"/>
          <w:color w:val="000000"/>
          <w:sz w:val="22"/>
        </w:rPr>
        <w:t xml:space="preserve">，基底 </w:t>
      </w:r>
      <w:r>
        <w:rPr>
          <w:rFonts w:ascii="Consolas" w:hAnsi="Consolas" w:cs="Consolas" w:eastAsia="宋体"/>
          <w:color w:val="1F3D50"/>
          <w:sz w:val="21"/>
        </w:rPr>
        <w:t>noSlip</w:t>
      </w:r>
      <w:r>
        <w:rPr>
          <w:rFonts w:ascii="宋体" w:hAnsi="宋体" w:cs="宋体" w:eastAsia="宋体"/>
          <w:color w:val="000000"/>
          <w:sz w:val="22"/>
        </w:rPr>
        <w:t xml:space="preserve">，顶部 </w:t>
      </w:r>
      <w:r>
        <w:rPr>
          <w:rFonts w:ascii="Consolas" w:hAnsi="Consolas" w:cs="Consolas" w:eastAsia="宋体"/>
          <w:color w:val="1F3D50"/>
          <w:sz w:val="21"/>
        </w:rPr>
        <w:t>pressureInletOutletVelocity</w:t>
      </w:r>
      <w:r>
        <w:rPr>
          <w:rFonts w:ascii="宋体" w:hAnsi="宋体" w:cs="宋体" w:eastAsia="宋体"/>
          <w:color w:val="000000"/>
          <w:sz w:val="22"/>
        </w:rPr>
        <w:t>。入口速度与相分数共同给定气体输入，已有初始气泡用于研究后续生长。</w:t>
      </w:r>
    </w:p>
    <w:p>
      <w:pPr>
        <w:keepNext/>
        <w:spacing w:line="252" w:lineRule="auto" w:after="20" w:before="0"/>
        <w:ind w:left="227" w:right="160" w:firstLine="0"/>
        <w:keepLines/>
        <w:shd w:fill="F4F6F7"/>
      </w:pPr>
      <w:r>
        <w:rPr>
          <w:rFonts w:ascii="Consolas" w:hAnsi="Consolas" w:eastAsia="宋体" w:cs="Consolas"/>
          <w:b w:val="0"/>
          <w:color w:val="183C52"/>
          <w:sz w:val="19"/>
        </w:rPr>
        <w:t>electrode</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type fixedValue;</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value uniform (0 0.05 0);</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 xml:space="preserve">固定入口速度与面积使体积流量保持给定值。小气泡内压还包含曲率导致的 </w:t>
      </w:r>
      <w:r>
        <w:rPr>
          <w:rFonts w:ascii="Consolas" w:hAnsi="Consolas" w:cs="Consolas" w:eastAsia="宋体"/>
          <w:color w:val="1F3D50"/>
          <w:sz w:val="21"/>
        </w:rPr>
        <w:t>Laplace</w:t>
      </w:r>
      <w:r>
        <w:rPr>
          <w:rFonts w:ascii="宋体" w:hAnsi="宋体" w:cs="宋体" w:eastAsia="宋体"/>
          <w:color w:val="000000"/>
          <w:sz w:val="22"/>
        </w:rPr>
        <w:t xml:space="preserve"> 压差，若目标是固定摩尔率，需要根据内压与温度更新体积率，或采用明确的恒压近似。当前算例直接给定体积输入，压力由流动与界面方程求得。</w:t>
      </w:r>
    </w:p>
    <w:p>
      <w:pPr>
        <w:keepLines w:val="0"/>
        <w:widowControl/>
        <w:spacing w:line="336" w:lineRule="auto" w:after="120"/>
        <w:ind w:firstLine="420"/>
      </w:pPr>
      <w:r>
        <w:rPr>
          <w:rFonts w:ascii="宋体" w:hAnsi="宋体" w:cs="宋体" w:eastAsia="宋体"/>
          <w:color w:val="000000"/>
          <w:sz w:val="22"/>
        </w:rPr>
        <w:t>给定初始气泡可避免在本模型中处理微观成核，但其体积、位置和与入口的连接范围影响初期响应。网格改变时，按单元初始化会改变离散初始体积。因此每个算例都应保存初始体积统计，并在生长曲线中扣除该初值后比较输入导致的增量。</w:t>
      </w:r>
    </w:p>
    <w:p>
      <w:pPr>
        <w:pStyle w:val="Heading1"/>
        <w:keepNext/>
        <w:spacing w:before="260" w:after="120"/>
      </w:pPr>
      <w:r>
        <w:rPr>
          <w:rFonts w:ascii="黑体" w:hAnsi="黑体" w:cs="黑体" w:eastAsia="黑体"/>
          <w:color w:val="000000"/>
          <w:sz w:val="28"/>
        </w:rPr>
        <w:t>5 生长律与网格对照</w:t>
      </w:r>
    </w:p>
    <w:p>
      <w:pPr>
        <w:keepLines w:val="0"/>
        <w:widowControl/>
        <w:spacing w:line="336" w:lineRule="auto" w:after="120"/>
        <w:ind w:firstLine="420"/>
      </w:pPr>
      <w:r>
        <w:rPr>
          <w:rFonts w:ascii="宋体" w:hAnsi="宋体" w:cs="宋体" w:eastAsia="宋体"/>
          <w:color w:val="000000"/>
          <w:sz w:val="22"/>
        </w:rPr>
        <w:t>恒定体积流入、无流出时 V=V₀+Qt，等效半径满足 R³=R₀³+3</w:t>
      </w:r>
      <w:r>
        <w:rPr>
          <w:rFonts w:ascii="Consolas" w:hAnsi="Consolas" w:cs="Consolas" w:eastAsia="宋体"/>
          <w:color w:val="1F3D50"/>
          <w:sz w:val="21"/>
        </w:rPr>
        <w:t>Qt/(4π)</w:t>
      </w:r>
      <w:r>
        <w:rPr>
          <w:rFonts w:ascii="宋体" w:hAnsi="宋体" w:cs="宋体" w:eastAsia="宋体"/>
          <w:color w:val="000000"/>
          <w:sz w:val="22"/>
        </w:rPr>
        <w:t>。仅在 Qt 远大于 V₀ 时才趋于 R∝t^(1/3)，早期拟合须保留初始体积影响。</w:t>
      </w:r>
    </w:p>
    <w:p>
      <w:pPr>
        <w:keepLines w:val="0"/>
        <w:widowControl/>
        <w:spacing w:line="336" w:lineRule="auto" w:after="120"/>
        <w:ind w:firstLine="420"/>
      </w:pPr>
      <w:r>
        <w:rPr>
          <w:rFonts w:ascii="Consolas" w:hAnsi="Consolas" w:cs="Consolas" w:eastAsia="宋体"/>
          <w:color w:val="1F3D50"/>
          <w:sz w:val="21"/>
        </w:rPr>
        <w:t>N24</w:t>
      </w:r>
      <w:r>
        <w:rPr>
          <w:rFonts w:ascii="宋体" w:hAnsi="宋体" w:cs="宋体" w:eastAsia="宋体"/>
          <w:color w:val="000000"/>
          <w:sz w:val="22"/>
        </w:rPr>
        <w:t>、</w:t>
      </w:r>
      <w:r>
        <w:rPr>
          <w:rFonts w:ascii="Consolas" w:hAnsi="Consolas" w:cs="Consolas" w:eastAsia="宋体"/>
          <w:color w:val="1F3D50"/>
          <w:sz w:val="21"/>
        </w:rPr>
        <w:t>N32</w:t>
      </w:r>
      <w:r>
        <w:rPr>
          <w:rFonts w:ascii="宋体" w:hAnsi="宋体" w:cs="宋体" w:eastAsia="宋体"/>
          <w:color w:val="000000"/>
          <w:sz w:val="22"/>
        </w:rPr>
        <w:t>、</w:t>
      </w:r>
      <w:r>
        <w:rPr>
          <w:rFonts w:ascii="Consolas" w:hAnsi="Consolas" w:cs="Consolas" w:eastAsia="宋体"/>
          <w:color w:val="1F3D50"/>
          <w:sz w:val="21"/>
        </w:rPr>
        <w:t>N48</w:t>
      </w:r>
      <w:r>
        <w:rPr>
          <w:rFonts w:ascii="宋体" w:hAnsi="宋体" w:cs="宋体" w:eastAsia="宋体"/>
          <w:color w:val="000000"/>
          <w:sz w:val="22"/>
        </w:rPr>
        <w:t xml:space="preserve"> 三组采用不同网格。初始气体体积分别为 4.0932×10⁻¹¹、4.9119×10⁻¹¹、6.3672×10⁻¹¹ m³；最终体积分别约为 5.0768×10⁻¹¹、5.8942×10⁻¹¹、7.3490×10⁻¹¹ m³。三组实际结束时刻均接近 0.001 s，但因自适应步长略有差异。</w:t>
      </w:r>
    </w:p>
    <w:p>
      <w:pPr>
        <w:keepLines w:val="0"/>
        <w:widowControl/>
        <w:spacing w:line="336" w:lineRule="auto" w:after="120"/>
        <w:ind w:firstLine="420"/>
      </w:pPr>
      <w:r>
        <w:rPr>
          <w:rFonts w:ascii="宋体" w:hAnsi="宋体" w:cs="宋体" w:eastAsia="宋体"/>
          <w:color w:val="000000"/>
          <w:sz w:val="22"/>
        </w:rPr>
        <w:t>以 εV=|</w:t>
      </w:r>
      <w:r>
        <w:rPr>
          <w:rFonts w:ascii="Consolas" w:hAnsi="Consolas" w:cs="Consolas" w:eastAsia="宋体"/>
          <w:color w:val="1F3D50"/>
          <w:sz w:val="21"/>
        </w:rPr>
        <w:t>Vnum</w:t>
      </w:r>
      <w:r>
        <w:rPr>
          <w:rFonts w:ascii="宋体" w:hAnsi="宋体" w:cs="宋体" w:eastAsia="宋体"/>
          <w:color w:val="000000"/>
          <w:sz w:val="22"/>
        </w:rPr>
        <w:t>−(</w:t>
      </w:r>
      <w:r>
        <w:rPr>
          <w:rFonts w:ascii="Consolas" w:hAnsi="Consolas" w:cs="Consolas" w:eastAsia="宋体"/>
          <w:color w:val="1F3D50"/>
          <w:sz w:val="21"/>
        </w:rPr>
        <w:t>V0+Qt</w:t>
      </w:r>
      <w:r>
        <w:rPr>
          <w:rFonts w:ascii="宋体" w:hAnsi="宋体" w:cs="宋体" w:eastAsia="宋体"/>
          <w:color w:val="000000"/>
          <w:sz w:val="22"/>
        </w:rPr>
        <w:t>)|/(</w:t>
      </w:r>
      <w:r>
        <w:rPr>
          <w:rFonts w:ascii="Consolas" w:hAnsi="Consolas" w:cs="Consolas" w:eastAsia="宋体"/>
          <w:color w:val="1F3D50"/>
          <w:sz w:val="21"/>
        </w:rPr>
        <w:t>V0+Qt</w:t>
      </w:r>
      <w:r>
        <w:rPr>
          <w:rFonts w:ascii="宋体" w:hAnsi="宋体" w:cs="宋体" w:eastAsia="宋体"/>
          <w:color w:val="000000"/>
          <w:sz w:val="22"/>
        </w:rPr>
        <w:t>) 定义气体总体积的相对误差，三组结果分别约为 0.01228%、0.01061% 和 0.008512%。比较时应使用每组实际时间和初始体积，而非只比较最终体积大小。细网格的初始体积较大是当前初始化离散结果，不应解释为细网格预测了更强反应。</w:t>
      </w:r>
    </w:p>
    <w:p>
      <w:pPr>
        <w:keepNext/>
        <w:spacing w:before="120" w:after="120"/>
        <w:jc w:val="center"/>
      </w:pPr>
      <w:r>
        <w:drawing>
          <wp:inline xmlns:a="http://schemas.openxmlformats.org/drawingml/2006/main" xmlns:pic="http://schemas.openxmlformats.org/drawingml/2006/picture">
            <wp:extent cx="5900467" cy="3474719"/>
            <wp:docPr id="2" name="Picture 2"/>
            <wp:cNvGraphicFramePr>
              <a:graphicFrameLocks noChangeAspect="1"/>
            </wp:cNvGraphicFramePr>
            <a:graphic>
              <a:graphicData uri="http://schemas.openxmlformats.org/drawingml/2006/picture">
                <pic:pic>
                  <pic:nvPicPr>
                    <pic:cNvPr id="0" name="气泡统计曲线.png"/>
                    <pic:cNvPicPr/>
                  </pic:nvPicPr>
                  <pic:blipFill>
                    <a:blip r:embed="rId10"/>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图中不同网格曲线的初始偏移可由离散体积解释。更适合检查输入守恒的量是 V(t)−V0 与 Qt。形状、局部压力和最大速度仍需单独进行网格检验，体积输入误差小不自动说明这些局部量已经收敛。</w:t>
      </w:r>
    </w:p>
    <w:p>
      <w:pPr>
        <w:pStyle w:val="Heading1"/>
        <w:keepNext/>
        <w:spacing w:before="260" w:after="120"/>
      </w:pPr>
      <w:r>
        <w:rPr>
          <w:rFonts w:ascii="黑体" w:hAnsi="黑体" w:cs="黑体" w:eastAsia="黑体"/>
          <w:color w:val="000000"/>
          <w:sz w:val="28"/>
        </w:rPr>
        <w:t>6 延长计算的实际生长结果</w:t>
      </w:r>
    </w:p>
    <w:p>
      <w:pPr>
        <w:keepLines w:val="0"/>
        <w:widowControl/>
        <w:spacing w:line="336" w:lineRule="auto" w:after="120"/>
        <w:ind w:firstLine="420"/>
      </w:pPr>
      <w:r>
        <w:rPr>
          <w:rFonts w:ascii="Consolas" w:hAnsi="Consolas" w:cs="Consolas" w:eastAsia="宋体"/>
          <w:color w:val="1F3D50"/>
          <w:sz w:val="21"/>
        </w:rPr>
        <w:t>injection_growth</w:t>
      </w:r>
      <w:r>
        <w:rPr>
          <w:rFonts w:ascii="宋体" w:hAnsi="宋体" w:cs="宋体" w:eastAsia="宋体"/>
          <w:color w:val="000000"/>
          <w:sz w:val="22"/>
        </w:rPr>
        <w:t xml:space="preserve"> 将结束时间设置为 0.03 s，最大时间步为 1×10⁻⁵ s，</w:t>
      </w:r>
      <w:r>
        <w:rPr>
          <w:rFonts w:ascii="Consolas" w:hAnsi="Consolas" w:cs="Consolas" w:eastAsia="宋体"/>
          <w:color w:val="1F3D50"/>
          <w:sz w:val="21"/>
        </w:rPr>
        <w:t>maxCo</w:t>
      </w:r>
      <w:r>
        <w:rPr>
          <w:rFonts w:ascii="宋体" w:hAnsi="宋体" w:cs="宋体" w:eastAsia="宋体"/>
          <w:color w:val="000000"/>
          <w:sz w:val="22"/>
        </w:rPr>
        <w:t>=0.25，</w:t>
      </w:r>
      <w:r>
        <w:rPr>
          <w:rFonts w:ascii="Consolas" w:hAnsi="Consolas" w:cs="Consolas" w:eastAsia="宋体"/>
          <w:color w:val="1F3D50"/>
          <w:sz w:val="21"/>
        </w:rPr>
        <w:t>maxAlphaCo</w:t>
      </w:r>
      <w:r>
        <w:rPr>
          <w:rFonts w:ascii="宋体" w:hAnsi="宋体" w:cs="宋体" w:eastAsia="宋体"/>
          <w:color w:val="000000"/>
          <w:sz w:val="22"/>
        </w:rPr>
        <w:t>=0.2，保存间隔为 0.002 s。</w:t>
      </w:r>
    </w:p>
    <w:p>
      <w:pPr>
        <w:keepLines w:val="0"/>
        <w:widowControl/>
        <w:spacing w:line="336" w:lineRule="auto" w:after="120"/>
        <w:ind w:firstLine="420"/>
      </w:pPr>
      <w:r>
        <w:rPr>
          <w:rFonts w:ascii="宋体" w:hAnsi="宋体" w:cs="宋体" w:eastAsia="宋体"/>
          <w:color w:val="000000"/>
          <w:sz w:val="22"/>
        </w:rPr>
        <w:t>最新保存时刻为 0.02999703081 s，初始体积为 4.0932133976735996×10⁻¹¹ m³，最终为 3.35613940857535×10⁻¹⁰ m³，已形成明显体积增长。</w:t>
      </w:r>
    </w:p>
    <w:p>
      <w:pPr>
        <w:keepLines w:val="0"/>
        <w:widowControl/>
        <w:spacing w:line="336" w:lineRule="auto" w:after="120"/>
        <w:ind w:firstLine="420"/>
      </w:pPr>
      <w:r>
        <w:rPr>
          <w:rFonts w:ascii="宋体" w:hAnsi="宋体" w:cs="宋体" w:eastAsia="宋体"/>
          <w:color w:val="000000"/>
          <w:sz w:val="22"/>
        </w:rPr>
        <w:t>按上述 εV 定义计算，该算例气体总体积的相对误差约为 0.05564%，连通性检查未检测到脱落。结果说明当前时段气泡在持续注气下增长，并保持与壁面连接。形状变化需要结合入口钉扎、接触角、浮力和毛细力共同解释。</w:t>
      </w:r>
    </w:p>
    <w:p>
      <w:pPr>
        <w:keepNext/>
        <w:spacing w:before="120" w:after="120"/>
        <w:jc w:val="center"/>
      </w:pPr>
      <w:r>
        <w:drawing>
          <wp:inline xmlns:a="http://schemas.openxmlformats.org/drawingml/2006/main" xmlns:pic="http://schemas.openxmlformats.org/drawingml/2006/picture">
            <wp:extent cx="5544765" cy="3474719"/>
            <wp:docPr id="3" name="Picture 3"/>
            <wp:cNvGraphicFramePr>
              <a:graphicFrameLocks noChangeAspect="1"/>
            </wp:cNvGraphicFramePr>
            <a:graphic>
              <a:graphicData uri="http://schemas.openxmlformats.org/drawingml/2006/picture">
                <pic:pic>
                  <pic:nvPicPr>
                    <pic:cNvPr id="0" name="injection_growth_field.png"/>
                    <pic:cNvPicPr/>
                  </pic:nvPicPr>
                  <pic:blipFill>
                    <a:blip r:embed="rId11"/>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界面来自实际保存场，观察气泡高度、横向扩展和与壁面的连接位置。体积曲线采用积分定义，图形仅提供几何解释。气泡内部最高压力可随曲率变化而降低，但固定速度入口仍保持给定体积流量；摩尔输入是否恒定需要另行考虑气体状态关系。</w:t>
      </w:r>
    </w:p>
    <w:p>
      <w:pPr>
        <w:keepLines w:val="0"/>
        <w:widowControl/>
        <w:spacing w:line="336" w:lineRule="auto" w:after="120"/>
        <w:ind w:firstLine="420"/>
      </w:pPr>
      <w:r>
        <w:rPr>
          <w:rFonts w:ascii="宋体" w:hAnsi="宋体" w:cs="宋体" w:eastAsia="宋体"/>
          <w:color w:val="000000"/>
          <w:sz w:val="22"/>
        </w:rPr>
        <w:t xml:space="preserve">续算时应保留网格与最新场，将 </w:t>
      </w:r>
      <w:r>
        <w:rPr>
          <w:rFonts w:ascii="Consolas" w:hAnsi="Consolas" w:cs="Consolas" w:eastAsia="宋体"/>
          <w:color w:val="1F3D50"/>
          <w:sz w:val="21"/>
        </w:rPr>
        <w:t>startFrom</w:t>
      </w:r>
      <w:r>
        <w:rPr>
          <w:rFonts w:ascii="宋体" w:hAnsi="宋体" w:cs="宋体" w:eastAsia="宋体"/>
          <w:color w:val="000000"/>
          <w:sz w:val="22"/>
        </w:rPr>
        <w:t xml:space="preserve"> 设为 </w:t>
      </w:r>
      <w:r>
        <w:rPr>
          <w:rFonts w:ascii="Consolas" w:hAnsi="Consolas" w:cs="Consolas" w:eastAsia="宋体"/>
          <w:color w:val="1F3D50"/>
          <w:sz w:val="21"/>
        </w:rPr>
        <w:t>latestTime</w:t>
      </w:r>
      <w:r>
        <w:rPr>
          <w:rFonts w:ascii="宋体" w:hAnsi="宋体" w:cs="宋体" w:eastAsia="宋体"/>
          <w:color w:val="000000"/>
          <w:sz w:val="22"/>
        </w:rPr>
        <w:t xml:space="preserve"> 并延长 </w:t>
      </w:r>
      <w:r>
        <w:rPr>
          <w:rFonts w:ascii="Consolas" w:hAnsi="Consolas" w:cs="Consolas" w:eastAsia="宋体"/>
          <w:color w:val="1F3D50"/>
          <w:sz w:val="21"/>
        </w:rPr>
        <w:t>endTime</w:t>
      </w:r>
      <w:r>
        <w:rPr>
          <w:rFonts w:ascii="宋体" w:hAnsi="宋体" w:cs="宋体" w:eastAsia="宋体"/>
          <w:color w:val="000000"/>
          <w:sz w:val="22"/>
        </w:rPr>
        <w:t xml:space="preserve">，直接执行求解器。重新执行初始化会改变起始气泡，因此续算与从初值重新计算应分开操作。已有 </w:t>
      </w:r>
      <w:r>
        <w:rPr>
          <w:rFonts w:ascii="Consolas" w:hAnsi="Consolas" w:cs="Consolas" w:eastAsia="宋体"/>
          <w:color w:val="1F3D50"/>
          <w:sz w:val="21"/>
        </w:rPr>
        <w:t>Allrun.sh</w:t>
      </w:r>
      <w:r>
        <w:rPr>
          <w:rFonts w:ascii="宋体" w:hAnsi="宋体" w:cs="宋体" w:eastAsia="宋体"/>
          <w:color w:val="000000"/>
          <w:sz w:val="22"/>
        </w:rPr>
        <w:t xml:space="preserve"> 用于完整重算，日志和时间目录应对应实际采用的起算方式。</w:t>
      </w:r>
    </w:p>
    <w:p>
      <w:pPr>
        <w:pStyle w:val="Heading1"/>
        <w:keepNext/>
        <w:spacing w:before="260" w:after="120"/>
      </w:pPr>
      <w:r>
        <w:rPr>
          <w:rFonts w:ascii="黑体" w:hAnsi="黑体" w:cs="黑体" w:eastAsia="黑体"/>
          <w:color w:val="000000"/>
          <w:sz w:val="28"/>
        </w:rPr>
        <w:t>7 固定界面CST参考模型</w:t>
      </w:r>
    </w:p>
    <w:p>
      <w:pPr>
        <w:keepLines w:val="0"/>
        <w:widowControl/>
        <w:spacing w:line="336" w:lineRule="auto" w:after="120"/>
        <w:ind w:firstLine="420"/>
      </w:pPr>
      <w:r>
        <w:rPr>
          <w:rFonts w:ascii="Consolas" w:hAnsi="Consolas" w:cs="Consolas" w:eastAsia="宋体"/>
          <w:color w:val="1F3D50"/>
          <w:sz w:val="21"/>
        </w:rPr>
        <w:t>CST_fixed_interface</w:t>
      </w:r>
      <w:r>
        <w:rPr>
          <w:rFonts w:ascii="宋体" w:hAnsi="宋体" w:cs="宋体" w:eastAsia="宋体"/>
          <w:color w:val="000000"/>
          <w:sz w:val="22"/>
        </w:rPr>
        <w:t xml:space="preserve"> 是独立一维 </w:t>
      </w:r>
      <w:r>
        <w:rPr>
          <w:rFonts w:ascii="Consolas" w:hAnsi="Consolas" w:cs="Consolas" w:eastAsia="宋体"/>
          <w:color w:val="1F3D50"/>
          <w:sz w:val="21"/>
        </w:rPr>
        <w:t>Python</w:t>
      </w:r>
      <w:r>
        <w:rPr>
          <w:rFonts w:ascii="宋体" w:hAnsi="宋体" w:cs="宋体" w:eastAsia="宋体"/>
          <w:color w:val="000000"/>
          <w:sz w:val="22"/>
        </w:rPr>
        <w:t xml:space="preserve"> 有限体积算例，采用归一化坐标和参数。左半域 H=0.2、D=1，右半域 H=1、D=4，定义 c=Hψ，求解 H∂ψ/∂t=∂(DH∂ψ/∂x)/∂x。外端无通量，界面位置固定。平衡时 ψ 连续且趋于常数，c 因 H 不同而出现分配跳跃。</w:t>
      </w:r>
    </w:p>
    <w:p>
      <w:pPr>
        <w:keepLines w:val="0"/>
        <w:widowControl/>
        <w:spacing w:line="336" w:lineRule="auto" w:after="120"/>
        <w:ind w:firstLine="420"/>
      </w:pPr>
      <w:r>
        <w:rPr>
          <w:rFonts w:ascii="宋体" w:hAnsi="宋体" w:cs="宋体" w:eastAsia="宋体"/>
          <w:color w:val="000000"/>
          <w:sz w:val="22"/>
        </w:rPr>
        <w:t>当前初值左侧 ψ=3、右侧 ψ=0.2，故初始浓度分别为 0.6 和 0.2。两半域等长，总积分为 0.4。平衡时平均 H 为 0.6，因此 ψ平衡=0.4/0.6=2/3，左右平衡浓度分别为 2/15 和 2/3，其比为 0.2。该解析关系同时检验分配和守恒。</w:t>
      </w:r>
    </w:p>
    <w:p>
      <w:pPr>
        <w:keepLines w:val="0"/>
        <w:widowControl/>
        <w:spacing w:line="336" w:lineRule="auto" w:after="120"/>
        <w:ind w:firstLine="420"/>
      </w:pPr>
      <w:r>
        <w:rPr>
          <w:rFonts w:ascii="宋体" w:hAnsi="宋体" w:cs="宋体" w:eastAsia="宋体"/>
          <w:color w:val="000000"/>
          <w:sz w:val="22"/>
        </w:rPr>
        <w:t xml:space="preserve">程序采用 160 个单元、时间步 0.0005、隐式 </w:t>
      </w:r>
      <w:r>
        <w:rPr>
          <w:rFonts w:ascii="Consolas" w:hAnsi="Consolas" w:cs="Consolas" w:eastAsia="宋体"/>
          <w:color w:val="1F3D50"/>
          <w:sz w:val="21"/>
        </w:rPr>
        <w:t>Euler</w:t>
      </w:r>
      <w:r>
        <w:rPr>
          <w:rFonts w:ascii="宋体" w:hAnsi="宋体" w:cs="宋体" w:eastAsia="宋体"/>
          <w:color w:val="000000"/>
          <w:sz w:val="22"/>
        </w:rPr>
        <w:t xml:space="preserve"> 和三对角消元，共推进 2000 步。相邻面的 DH 使用调和平均，反映串联扩散阻力。运行命令为：</w:t>
      </w:r>
    </w:p>
    <w:p>
      <w:pPr>
        <w:keepNext w:val="0"/>
        <w:spacing w:line="252" w:lineRule="auto" w:after="20" w:before="0"/>
        <w:ind w:left="227" w:right="160" w:firstLine="0"/>
        <w:keepLines/>
        <w:shd w:fill="F4F6F7"/>
      </w:pPr>
      <w:r>
        <w:rPr>
          <w:rFonts w:ascii="Consolas" w:hAnsi="Consolas" w:eastAsia="宋体" w:cs="Consolas"/>
          <w:b w:val="0"/>
          <w:color w:val="183C52"/>
          <w:sz w:val="19"/>
        </w:rPr>
        <w:t>python3 CST.py &gt; log.CST 2&gt;&amp;1</w:t>
      </w:r>
    </w:p>
    <w:p>
      <w:pPr>
        <w:spacing w:after="20"/>
      </w:pPr>
    </w:p>
    <w:p>
      <w:pPr>
        <w:keepLines w:val="0"/>
        <w:widowControl/>
        <w:spacing w:line="336" w:lineRule="auto" w:after="120"/>
        <w:ind w:firstLine="420"/>
      </w:pPr>
      <w:r>
        <w:rPr>
          <w:rFonts w:ascii="宋体" w:hAnsi="宋体" w:cs="宋体" w:eastAsia="宋体"/>
          <w:color w:val="000000"/>
          <w:sz w:val="22"/>
        </w:rPr>
        <w:t xml:space="preserve">结果文件 </w:t>
      </w:r>
      <w:r>
        <w:rPr>
          <w:rFonts w:ascii="Consolas" w:hAnsi="Consolas" w:cs="Consolas" w:eastAsia="宋体"/>
          <w:color w:val="1F3D50"/>
          <w:sz w:val="21"/>
        </w:rPr>
        <w:t>cst_result.json</w:t>
      </w:r>
      <w:r>
        <w:rPr>
          <w:rFonts w:ascii="宋体" w:hAnsi="宋体" w:cs="宋体" w:eastAsia="宋体"/>
          <w:color w:val="000000"/>
          <w:sz w:val="22"/>
        </w:rPr>
        <w:t xml:space="preserve"> 给出总量相对误差 6.5947×10⁻¹³，浓度比为 0.2000109081，接近目标 0.2。</w:t>
      </w:r>
      <w:r>
        <w:rPr>
          <w:rFonts w:ascii="Consolas" w:hAnsi="Consolas" w:cs="Consolas" w:eastAsia="宋体"/>
          <w:color w:val="1F3D50"/>
          <w:sz w:val="21"/>
        </w:rPr>
        <w:t>cst_equilibrium.csv</w:t>
      </w:r>
      <w:r>
        <w:rPr>
          <w:rFonts w:ascii="宋体" w:hAnsi="宋体" w:cs="宋体" w:eastAsia="宋体"/>
          <w:color w:val="000000"/>
          <w:sz w:val="22"/>
        </w:rPr>
        <w:t xml:space="preserve"> 保存坐标、H、c 与 ψ，可分别绘制连续变换变量和具有跳跃的浓度。该计算验证固定界面分配与守恒，未包含 </w:t>
      </w:r>
      <w:r>
        <w:rPr>
          <w:rFonts w:ascii="Consolas" w:hAnsi="Consolas" w:cs="Consolas" w:eastAsia="宋体"/>
          <w:color w:val="1F3D50"/>
          <w:sz w:val="21"/>
        </w:rPr>
        <w:t>VOF</w:t>
      </w:r>
      <w:r>
        <w:rPr>
          <w:rFonts w:ascii="宋体" w:hAnsi="宋体" w:cs="宋体" w:eastAsia="宋体"/>
          <w:color w:val="000000"/>
          <w:sz w:val="22"/>
        </w:rPr>
        <w:t xml:space="preserve"> 界面移动和体积反馈。</w:t>
      </w:r>
    </w:p>
    <w:p>
      <w:pPr>
        <w:keepNext/>
        <w:spacing w:before="120" w:after="120"/>
        <w:jc w:val="center"/>
      </w:pPr>
      <w:r>
        <w:drawing>
          <wp:inline xmlns:a="http://schemas.openxmlformats.org/drawingml/2006/main" xmlns:pic="http://schemas.openxmlformats.org/drawingml/2006/picture">
            <wp:extent cx="5900467" cy="3474719"/>
            <wp:docPr id="4" name="Picture 4"/>
            <wp:cNvGraphicFramePr>
              <a:graphicFrameLocks noChangeAspect="1"/>
            </wp:cNvGraphicFramePr>
            <a:graphic>
              <a:graphicData uri="http://schemas.openxmlformats.org/drawingml/2006/picture">
                <pic:pic>
                  <pic:nvPicPr>
                    <pic:cNvPr id="0" name="CST固定界面结果.png"/>
                    <pic:cNvPicPr/>
                  </pic:nvPicPr>
                  <pic:blipFill>
                    <a:blip r:embed="rId12"/>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图中应区分 c 与 ψ：变换变量接近平衡常值，真实浓度按两侧 H 呈不同水平。将浓度本身强制连续会改变所规定的分配关系，这正是引入变换变量的数学动机。</w:t>
      </w:r>
    </w:p>
    <w:p>
      <w:pPr>
        <w:pStyle w:val="Heading1"/>
        <w:keepNext/>
        <w:spacing w:before="260" w:after="120"/>
      </w:pPr>
      <w:r>
        <w:rPr>
          <w:rFonts w:ascii="黑体" w:hAnsi="黑体" w:cs="黑体" w:eastAsia="黑体"/>
          <w:color w:val="000000"/>
          <w:sz w:val="28"/>
        </w:rPr>
        <w:t>8 移动界面传质所需关系</w:t>
      </w:r>
    </w:p>
    <w:p>
      <w:pPr>
        <w:keepLines w:val="0"/>
        <w:widowControl/>
        <w:spacing w:line="336" w:lineRule="auto" w:after="120"/>
        <w:ind w:firstLine="420"/>
      </w:pPr>
      <w:r>
        <w:rPr>
          <w:rFonts w:ascii="宋体" w:hAnsi="宋体" w:cs="宋体" w:eastAsia="宋体"/>
          <w:color w:val="000000"/>
          <w:sz w:val="22"/>
        </w:rPr>
        <w:t>将固定界面分配扩展到气泡生长，需要计算界面两侧的质量通量，并据此改变气液质量和体积。设质量从液相转移到气相，两相总质量交换应等量反向，但由于密度不同，相应体积源不相同。连续性与相分数方程必须采用相容源项，保证总质量和体积运动关系一致。</w:t>
      </w:r>
    </w:p>
    <w:p>
      <w:pPr>
        <w:keepLines w:val="0"/>
        <w:widowControl/>
        <w:spacing w:line="336" w:lineRule="auto" w:after="120"/>
        <w:ind w:firstLine="420"/>
      </w:pPr>
      <w:r>
        <w:rPr>
          <w:rFonts w:ascii="宋体" w:hAnsi="宋体" w:cs="宋体" w:eastAsia="宋体"/>
          <w:color w:val="000000"/>
          <w:sz w:val="22"/>
        </w:rPr>
        <w:t xml:space="preserve">第25讲被动 </w:t>
      </w:r>
      <w:r>
        <w:rPr>
          <w:rFonts w:ascii="Consolas" w:hAnsi="Consolas" w:cs="Consolas" w:eastAsia="宋体"/>
          <w:color w:val="1F3D50"/>
          <w:sz w:val="21"/>
        </w:rPr>
        <w:t>cGas</w:t>
      </w:r>
      <w:r>
        <w:rPr>
          <w:rFonts w:ascii="宋体" w:hAnsi="宋体" w:cs="宋体" w:eastAsia="宋体"/>
          <w:color w:val="000000"/>
          <w:sz w:val="22"/>
        </w:rPr>
        <w:t xml:space="preserve"> 方程没有 </w:t>
      </w:r>
      <w:r>
        <w:rPr>
          <w:rFonts w:ascii="Consolas" w:hAnsi="Consolas" w:cs="Consolas" w:eastAsia="宋体"/>
          <w:color w:val="1F3D50"/>
          <w:sz w:val="21"/>
        </w:rPr>
        <w:t>Henry</w:t>
      </w:r>
      <w:r>
        <w:rPr>
          <w:rFonts w:ascii="宋体" w:hAnsi="宋体" w:cs="宋体" w:eastAsia="宋体"/>
          <w:color w:val="000000"/>
          <w:sz w:val="22"/>
        </w:rPr>
        <w:t xml:space="preserve"> 分配条件，也没有这种质量反馈。固定界面 </w:t>
      </w:r>
      <w:r>
        <w:rPr>
          <w:rFonts w:ascii="Consolas" w:hAnsi="Consolas" w:cs="Consolas" w:eastAsia="宋体"/>
          <w:color w:val="1F3D50"/>
          <w:sz w:val="21"/>
        </w:rPr>
        <w:t>CST</w:t>
      </w:r>
      <w:r>
        <w:rPr>
          <w:rFonts w:ascii="宋体" w:hAnsi="宋体" w:cs="宋体" w:eastAsia="宋体"/>
          <w:color w:val="000000"/>
          <w:sz w:val="22"/>
        </w:rPr>
        <w:t xml:space="preserve"> 例展示分配跳跃的处理思路，等效注气例展示给定输入下的力学响应，两者在当前资料中分别计算。组合模型时，应逐项验证界面通量、相质量收支和气泡体积增长。</w:t>
      </w:r>
    </w:p>
    <w:p>
      <w:pPr>
        <w:pStyle w:val="Heading2"/>
        <w:keepNext/>
        <w:spacing w:before="260" w:after="120"/>
      </w:pPr>
      <w:r>
        <w:rPr>
          <w:rFonts w:ascii="黑体" w:hAnsi="黑体" w:cs="黑体" w:eastAsia="黑体"/>
          <w:color w:val="000000"/>
          <w:sz w:val="28"/>
        </w:rPr>
        <w:t>压力 温度与体积输入</w:t>
      </w:r>
    </w:p>
    <w:p>
      <w:pPr>
        <w:keepLines w:val="0"/>
        <w:widowControl/>
        <w:spacing w:line="336" w:lineRule="auto" w:after="120"/>
        <w:ind w:firstLine="420"/>
      </w:pPr>
      <w:r>
        <w:rPr>
          <w:rFonts w:ascii="宋体" w:hAnsi="宋体" w:cs="宋体" w:eastAsia="宋体"/>
          <w:color w:val="000000"/>
          <w:sz w:val="22"/>
        </w:rPr>
        <w:t>理想气体换算采用绝对压力。流动求解中的表压需要加上参考绝对压力后才能用于摩尔体积计算。小气泡的毛细压差可能占据可辨比例，随着半径增加，内压变化也会影响单位摩尔对应体积。因此固定体积流量和固定摩尔流量属于不同边界条件。</w:t>
      </w:r>
    </w:p>
    <w:p>
      <w:pPr>
        <w:keepLines w:val="0"/>
        <w:widowControl/>
        <w:spacing w:line="336" w:lineRule="auto" w:after="120"/>
        <w:ind w:firstLine="420"/>
      </w:pPr>
      <w:r>
        <w:rPr>
          <w:rFonts w:ascii="宋体" w:hAnsi="宋体" w:cs="宋体" w:eastAsia="宋体"/>
          <w:color w:val="000000"/>
          <w:sz w:val="22"/>
        </w:rPr>
        <w:t>温度变化同样影响体积换算与溶解平衡。若采用恒温模型，应将该温度用于气体状态关系和相应传质参数。若进一步求解温度场，则需明确温度如何进入密度、扩散系数或分配关系，并建立配套验证。每增加一种反馈，都应检查其输入与守恒关系。</w:t>
      </w:r>
    </w:p>
    <w:p>
      <w:pPr>
        <w:pStyle w:val="Heading2"/>
        <w:keepNext/>
        <w:spacing w:before="260" w:after="120"/>
      </w:pPr>
      <w:r>
        <w:rPr>
          <w:rFonts w:ascii="黑体" w:hAnsi="黑体" w:cs="黑体" w:eastAsia="黑体"/>
          <w:color w:val="000000"/>
          <w:sz w:val="28"/>
        </w:rPr>
        <w:t>生长结果的比较方法</w:t>
      </w:r>
    </w:p>
    <w:p>
      <w:pPr>
        <w:keepLines w:val="0"/>
        <w:widowControl/>
        <w:spacing w:line="336" w:lineRule="auto" w:after="120"/>
        <w:ind w:firstLine="420"/>
      </w:pPr>
      <w:r>
        <w:rPr>
          <w:rFonts w:ascii="宋体" w:hAnsi="宋体" w:cs="宋体" w:eastAsia="宋体"/>
          <w:color w:val="000000"/>
          <w:sz w:val="22"/>
        </w:rPr>
        <w:t>体积曲线可以同时绘制实际积分、初始体积加累计输入和相对误差。入口流量随时间变化时，应积分实际 Q(t)，而非用单一平均值替代。气泡离开计算域后，还需计入流出气体，域内体积不再单独满足 V0加累计输入的关系。</w:t>
      </w:r>
    </w:p>
    <w:p>
      <w:pPr>
        <w:keepLines w:val="0"/>
        <w:widowControl/>
        <w:spacing w:line="336" w:lineRule="auto" w:after="120"/>
        <w:ind w:firstLine="420"/>
      </w:pPr>
      <w:r>
        <w:rPr>
          <w:rFonts w:ascii="宋体" w:hAnsi="宋体" w:cs="宋体" w:eastAsia="宋体"/>
          <w:color w:val="000000"/>
          <w:sz w:val="22"/>
        </w:rPr>
        <w:t>三档网格在初始气泡分辨率上不同，因此分析早期生长时宜同时报告初始体积误差和后续增量误差。若目标是局部压力或接触线运动，需对这些量独立采样，采用相同位置和时间。总体守恒是一项必要检查，与形状和受力精度互为补充。</w:t>
      </w:r>
    </w:p>
    <w:p>
      <w:pPr>
        <w:pStyle w:val="Heading2"/>
        <w:keepNext/>
        <w:spacing w:before="260" w:after="120"/>
      </w:pPr>
      <w:r>
        <w:rPr>
          <w:rFonts w:ascii="黑体" w:hAnsi="黑体" w:cs="黑体" w:eastAsia="黑体"/>
          <w:color w:val="000000"/>
          <w:sz w:val="28"/>
        </w:rPr>
        <w:t>固定界面离散的守恒结构</w:t>
      </w:r>
    </w:p>
    <w:p>
      <w:pPr>
        <w:keepLines w:val="0"/>
        <w:widowControl/>
        <w:spacing w:line="336" w:lineRule="auto" w:after="120"/>
        <w:ind w:firstLine="420"/>
      </w:pPr>
      <w:r>
        <w:rPr>
          <w:rFonts w:ascii="宋体" w:hAnsi="宋体" w:cs="宋体" w:eastAsia="宋体"/>
          <w:color w:val="000000"/>
          <w:sz w:val="22"/>
        </w:rPr>
        <w:t>固定界面程序以变换变量作为未知量，时间项保留分配系数乘变换变量的形式，因此累计量仍为真实浓度的空间积分。内部面扩散通量在左右相邻单元中以相反符号出现，整个区域求和后抵消；两端无通量使总量保持不变。时间项中的分配系数与扩散项中的系数应同时保留，遗漏其中一处会改变平衡与守恒关系。</w:t>
      </w:r>
    </w:p>
    <w:p>
      <w:pPr>
        <w:keepLines w:val="0"/>
        <w:widowControl/>
        <w:spacing w:line="336" w:lineRule="auto" w:after="120"/>
        <w:ind w:firstLine="420"/>
      </w:pPr>
      <w:r>
        <w:rPr>
          <w:rFonts w:ascii="宋体" w:hAnsi="宋体" w:cs="宋体" w:eastAsia="宋体"/>
          <w:color w:val="000000"/>
          <w:sz w:val="22"/>
        </w:rPr>
        <w:t>面系数采用调和平均，是因为相邻两半单元的扩散阻力串联。若一侧导通系数很小，整体通量受到低导通一侧限制，调和平均能够表达这一作用。直接采用算术平均可能高估跨越强系数差界面的通量。实际多维或移动界面问题还需结合界面位置和几何离散重新分析。</w:t>
      </w:r>
    </w:p>
    <w:p>
      <w:pPr>
        <w:keepLines w:val="0"/>
        <w:widowControl/>
        <w:spacing w:line="336" w:lineRule="auto" w:after="120"/>
        <w:ind w:firstLine="420"/>
      </w:pPr>
      <w:r>
        <w:rPr>
          <w:rFonts w:ascii="宋体" w:hAnsi="宋体" w:cs="宋体" w:eastAsia="宋体"/>
          <w:color w:val="000000"/>
          <w:sz w:val="22"/>
        </w:rPr>
        <w:t>平衡判据包括变换变量趋于常值、两侧浓度比接近分配系数比，以及总量与初始值一致。三者分别检查局部平衡、分配关系和整体收支。当前结果满足这些参考关系，其小幅比值偏差可以结合有限运行时间和数值精度解释。</w:t>
      </w:r>
    </w:p>
    <w:p>
      <w:pPr>
        <w:pStyle w:val="Heading2"/>
        <w:keepNext/>
        <w:spacing w:before="260" w:after="120"/>
      </w:pPr>
      <w:r>
        <w:rPr>
          <w:rFonts w:ascii="黑体" w:hAnsi="黑体" w:cs="黑体" w:eastAsia="黑体"/>
          <w:color w:val="000000"/>
          <w:sz w:val="28"/>
        </w:rPr>
        <w:t>注气模型与传质模型的参数区分</w:t>
      </w:r>
    </w:p>
    <w:p>
      <w:pPr>
        <w:keepLines w:val="0"/>
        <w:widowControl/>
        <w:spacing w:line="336" w:lineRule="auto" w:after="120"/>
        <w:ind w:firstLine="420"/>
      </w:pPr>
      <w:r>
        <w:rPr>
          <w:rFonts w:ascii="宋体" w:hAnsi="宋体" w:cs="宋体" w:eastAsia="宋体"/>
          <w:color w:val="000000"/>
          <w:sz w:val="22"/>
        </w:rPr>
        <w:t>注气速度是给定力学输入，溶解气体通量是浓度边界输入，二者不能同时作为互不关联的气体来源而重复累计。构建组合模型时，需要明确反应生成量如何分配到溶解相和直接进入气泡的部分，再核对总产气量。若采用经验析气比例，应说明该比例的定义及所依赖条件。</w:t>
      </w:r>
    </w:p>
    <w:p>
      <w:pPr>
        <w:keepLines w:val="0"/>
        <w:widowControl/>
        <w:spacing w:line="336" w:lineRule="auto" w:after="120"/>
        <w:ind w:firstLine="420"/>
      </w:pPr>
      <w:r>
        <w:rPr>
          <w:rFonts w:ascii="宋体" w:hAnsi="宋体" w:cs="宋体" w:eastAsia="宋体"/>
          <w:color w:val="000000"/>
          <w:sz w:val="22"/>
        </w:rPr>
        <w:t>气泡入口的几何面积还会影响速度和接触约束。在总流量不变时，减小孔口面积会提高入口速度，改变局部动量输入和压力分布。因此，相同体积生长率下的气泡形状仍可能不同。参数扫描应同时记录电极面积、孔口面积、体积率与速度，明确固定的是哪一个输入量。</w:t>
      </w:r>
    </w:p>
    <w:p>
      <w:pPr>
        <w:keepLines w:val="0"/>
        <w:widowControl/>
        <w:spacing w:line="336" w:lineRule="auto" w:after="120"/>
        <w:ind w:firstLine="420"/>
      </w:pPr>
      <w:r>
        <w:rPr>
          <w:rFonts w:ascii="宋体" w:hAnsi="宋体" w:cs="宋体" w:eastAsia="宋体"/>
          <w:color w:val="000000"/>
          <w:sz w:val="22"/>
        </w:rPr>
        <w:t>分析较长时间结果时，气泡形状变化可能影响内部压力和局部流动，但当前等效注气条件保持原体积率。若关注真实反应控制的生长，应将电流、传质、内压和温度关系逐项纳入模型，再与各自的基准进行比较。现有独立算例为这些关系提供分别核对的计算基础。</w:t>
      </w:r>
    </w:p>
    <w:p>
      <w:pPr>
        <w:keepLines w:val="0"/>
        <w:widowControl/>
        <w:spacing w:line="336" w:lineRule="auto" w:after="120"/>
        <w:ind w:firstLine="420"/>
      </w:pPr>
      <w:r>
        <w:rPr>
          <w:rFonts w:ascii="宋体" w:hAnsi="宋体" w:cs="宋体" w:eastAsia="宋体"/>
          <w:color w:val="000000"/>
          <w:sz w:val="22"/>
        </w:rPr>
        <w:t xml:space="preserve">本讲依据当前 </w:t>
      </w:r>
      <w:r>
        <w:rPr>
          <w:rFonts w:ascii="Consolas" w:hAnsi="Consolas" w:cs="Consolas" w:eastAsia="宋体"/>
          <w:color w:val="1F3D50"/>
          <w:sz w:val="21"/>
        </w:rPr>
        <w:t>v2512</w:t>
      </w:r>
      <w:r>
        <w:rPr>
          <w:rFonts w:ascii="宋体" w:hAnsi="宋体" w:cs="宋体" w:eastAsia="宋体"/>
          <w:color w:val="000000"/>
          <w:sz w:val="22"/>
        </w:rPr>
        <w:t xml:space="preserve"> 算例输入、</w:t>
      </w:r>
      <w:r>
        <w:rPr>
          <w:rFonts w:ascii="Consolas" w:hAnsi="Consolas" w:cs="Consolas" w:eastAsia="宋体"/>
          <w:color w:val="1F3D50"/>
          <w:sz w:val="21"/>
        </w:rPr>
        <w:t>Faraday</w:t>
      </w:r>
      <w:r>
        <w:rPr>
          <w:rFonts w:ascii="宋体" w:hAnsi="宋体" w:cs="宋体" w:eastAsia="宋体"/>
          <w:color w:val="000000"/>
          <w:sz w:val="22"/>
        </w:rPr>
        <w:t>扩散解析验证、注气体积检查和固定界面</w:t>
      </w:r>
      <w:r>
        <w:rPr>
          <w:rFonts w:ascii="Consolas" w:hAnsi="Consolas" w:cs="Consolas" w:eastAsia="宋体"/>
          <w:color w:val="1F3D50"/>
          <w:sz w:val="21"/>
        </w:rPr>
        <w:t>CST</w:t>
      </w:r>
      <w:r>
        <w:rPr>
          <w:rFonts w:ascii="宋体" w:hAnsi="宋体" w:cs="宋体" w:eastAsia="宋体"/>
          <w:color w:val="000000"/>
          <w:sz w:val="22"/>
        </w:rPr>
        <w:t>程序结果。基础扩散与界面方法见已有课程参考资料；</w:t>
      </w:r>
      <w:r>
        <w:rPr>
          <w:rFonts w:ascii="Consolas" w:hAnsi="Consolas" w:cs="Consolas" w:eastAsia="宋体"/>
          <w:color w:val="1F3D50"/>
          <w:sz w:val="21"/>
        </w:rPr>
        <w:t>CST</w:t>
      </w:r>
      <w:r>
        <w:rPr>
          <w:rFonts w:ascii="宋体" w:hAnsi="宋体" w:cs="宋体" w:eastAsia="宋体"/>
          <w:color w:val="000000"/>
          <w:sz w:val="22"/>
        </w:rPr>
        <w:t>相关研究作为方法背景，当前固定界面程序的方程及验证范围以上述实际实现为准。</w:t>
      </w:r>
    </w:p>
    <w:p>
      <w:pPr>
        <w:pStyle w:val="Heading1"/>
        <w:keepNext/>
        <w:spacing w:before="260" w:after="120"/>
      </w:pPr>
      <w:r>
        <w:rPr>
          <w:rFonts w:ascii="黑体" w:hAnsi="黑体" w:cs="黑体" w:eastAsia="黑体"/>
          <w:color w:val="000000"/>
          <w:sz w:val="28"/>
        </w:rPr>
        <w:t>9 几何VOF 润湿分区与初始化</w:t>
      </w:r>
    </w:p>
    <w:p>
      <w:pPr>
        <w:pStyle w:val="Heading1"/>
        <w:keepNext/>
        <w:spacing w:before="260" w:after="120"/>
      </w:pPr>
      <w:r>
        <w:rPr>
          <w:rFonts w:ascii="黑体" w:hAnsi="黑体" w:cs="黑体" w:eastAsia="黑体"/>
          <w:color w:val="000000"/>
          <w:sz w:val="28"/>
        </w:rPr>
        <w:t>10 计算问题与几何</w:t>
      </w:r>
    </w:p>
    <w:p>
      <w:pPr>
        <w:keepLines w:val="0"/>
        <w:widowControl/>
        <w:spacing w:line="336" w:lineRule="auto" w:after="120"/>
        <w:ind w:firstLine="420"/>
      </w:pPr>
      <w:r>
        <w:rPr>
          <w:rFonts w:ascii="宋体" w:hAnsi="宋体" w:cs="宋体" w:eastAsia="宋体"/>
          <w:color w:val="000000"/>
          <w:sz w:val="22"/>
        </w:rPr>
        <w:t>计算域为5°轴对称楔形域，轴向为y，径向坐标为r。外半径4 mm，总高度8 mm。底部中心圆孔半径0.25 mm，内环为0.25–0.55 mm，外环为0.55–1 mm，外围基底为1–4 mm。几何和润湿条件均绕轴保持不变，因此可使用楔形模型；单方向横流会破坏这一对称条件，需另建三维计算域。</w:t>
      </w:r>
    </w:p>
    <w:p>
      <w:pPr>
        <w:keepLines w:val="0"/>
        <w:widowControl/>
        <w:spacing w:line="336" w:lineRule="auto" w:after="120"/>
        <w:ind w:firstLine="420"/>
      </w:pPr>
      <w:r>
        <w:rPr>
          <w:rFonts w:ascii="宋体" w:hAnsi="宋体" w:cs="宋体" w:eastAsia="宋体"/>
          <w:color w:val="000000"/>
          <w:sz w:val="22"/>
        </w:rPr>
        <w:t>网格沿径向依次布置4、6、9、24个单元。轴向下部0–2 mm布置40层，上部2–8 mm布置40层，共3440个单元。近壁最小轴向尺寸为50 μm。初始球面半径0.4 mm、球心位于原点，域内部分构成半球。初场几何角为气侧90°。分区润湿案例改变壁面约束后包含初始形状调整，应与随后持续注气共同分析。</w:t>
      </w:r>
    </w:p>
    <w:p>
      <w:pPr>
        <w:keepLines w:val="0"/>
        <w:widowControl/>
        <w:spacing w:line="336" w:lineRule="auto" w:after="120"/>
        <w:ind w:firstLine="420"/>
      </w:pPr>
      <w:r>
        <w:rPr>
          <w:rFonts w:ascii="宋体" w:hAnsi="宋体" w:cs="宋体" w:eastAsia="宋体"/>
          <w:color w:val="000000"/>
          <w:sz w:val="22"/>
        </w:rPr>
        <w:t xml:space="preserve">气体从孔口以0.025 </w:t>
      </w:r>
      <w:r>
        <w:rPr>
          <w:rFonts w:ascii="Consolas" w:hAnsi="Consolas" w:cs="Consolas" w:eastAsia="宋体"/>
          <w:color w:val="1F3D50"/>
          <w:sz w:val="21"/>
        </w:rPr>
        <w:t>m/s</w:t>
      </w:r>
      <w:r>
        <w:rPr>
          <w:rFonts w:ascii="宋体" w:hAnsi="宋体" w:cs="宋体" w:eastAsia="宋体"/>
          <w:color w:val="000000"/>
          <w:sz w:val="22"/>
        </w:rPr>
        <w:t>进入，入口</w:t>
      </w:r>
      <w:r>
        <w:rPr>
          <w:rFonts w:ascii="Consolas" w:hAnsi="Consolas" w:cs="Consolas" w:eastAsia="宋体"/>
          <w:color w:val="1F3D50"/>
          <w:sz w:val="21"/>
        </w:rPr>
        <w:t>alpha.water</w:t>
      </w:r>
      <w:r>
        <w:rPr>
          <w:rFonts w:ascii="宋体" w:hAnsi="宋体" w:cs="宋体" w:eastAsia="宋体"/>
          <w:color w:val="000000"/>
          <w:sz w:val="22"/>
        </w:rPr>
        <w:t xml:space="preserve">为0。液体与气体密度分别为998和0.0838 </w:t>
      </w:r>
      <w:r>
        <w:rPr>
          <w:rFonts w:ascii="Consolas" w:hAnsi="Consolas" w:cs="Consolas" w:eastAsia="宋体"/>
          <w:color w:val="1F3D50"/>
          <w:sz w:val="21"/>
        </w:rPr>
        <w:t>kg/m</w:t>
      </w:r>
      <w:r>
        <w:rPr>
          <w:rFonts w:ascii="宋体" w:hAnsi="宋体" w:cs="宋体" w:eastAsia="宋体"/>
          <w:color w:val="000000"/>
          <w:sz w:val="22"/>
        </w:rPr>
        <w:t>³，运动黏度分别为1</w:t>
      </w:r>
      <w:r>
        <w:rPr>
          <w:rFonts w:ascii="Consolas" w:hAnsi="Consolas" w:cs="Consolas" w:eastAsia="宋体"/>
          <w:color w:val="1F3D50"/>
          <w:sz w:val="21"/>
        </w:rPr>
        <w:t>e-6</w:t>
      </w:r>
      <w:r>
        <w:rPr>
          <w:rFonts w:ascii="宋体" w:hAnsi="宋体" w:cs="宋体" w:eastAsia="宋体"/>
          <w:color w:val="000000"/>
          <w:sz w:val="22"/>
        </w:rPr>
        <w:t>和1.05</w:t>
      </w:r>
      <w:r>
        <w:rPr>
          <w:rFonts w:ascii="Consolas" w:hAnsi="Consolas" w:cs="Consolas" w:eastAsia="宋体"/>
          <w:color w:val="1F3D50"/>
          <w:sz w:val="21"/>
        </w:rPr>
        <w:t>e-4</w:t>
      </w:r>
      <w:r>
        <w:rPr>
          <w:rFonts w:ascii="宋体" w:hAnsi="宋体" w:cs="宋体" w:eastAsia="宋体"/>
          <w:color w:val="000000"/>
          <w:sz w:val="22"/>
        </w:rPr>
        <w:t xml:space="preserve"> m²/s，表面张力0.072 </w:t>
      </w:r>
      <w:r>
        <w:rPr>
          <w:rFonts w:ascii="Consolas" w:hAnsi="Consolas" w:cs="Consolas" w:eastAsia="宋体"/>
          <w:color w:val="1F3D50"/>
          <w:sz w:val="21"/>
        </w:rPr>
        <w:t>N/m</w:t>
      </w:r>
      <w:r>
        <w:rPr>
          <w:rFonts w:ascii="宋体" w:hAnsi="宋体" w:cs="宋体" w:eastAsia="宋体"/>
          <w:color w:val="000000"/>
          <w:sz w:val="22"/>
        </w:rPr>
        <w:t>。固体表面使用</w:t>
      </w:r>
      <w:r>
        <w:rPr>
          <w:rFonts w:ascii="Consolas" w:hAnsi="Consolas" w:cs="Consolas" w:eastAsia="宋体"/>
          <w:color w:val="1F3D50"/>
          <w:sz w:val="21"/>
        </w:rPr>
        <w:t>noSlip</w:t>
      </w:r>
      <w:r>
        <w:rPr>
          <w:rFonts w:ascii="宋体" w:hAnsi="宋体" w:cs="宋体" w:eastAsia="宋体"/>
          <w:color w:val="000000"/>
          <w:sz w:val="22"/>
        </w:rPr>
        <w:t>，顶面使用</w:t>
      </w:r>
      <w:r>
        <w:rPr>
          <w:rFonts w:ascii="Consolas" w:hAnsi="Consolas" w:cs="Consolas" w:eastAsia="宋体"/>
          <w:color w:val="1F3D50"/>
          <w:sz w:val="21"/>
        </w:rPr>
        <w:t>prghPressure</w:t>
      </w:r>
      <w:r>
        <w:rPr>
          <w:rFonts w:ascii="宋体" w:hAnsi="宋体" w:cs="宋体" w:eastAsia="宋体"/>
          <w:color w:val="000000"/>
          <w:sz w:val="22"/>
        </w:rPr>
        <w:t>和</w:t>
      </w:r>
      <w:r>
        <w:rPr>
          <w:rFonts w:ascii="Consolas" w:hAnsi="Consolas" w:cs="Consolas" w:eastAsia="宋体"/>
          <w:color w:val="1F3D50"/>
          <w:sz w:val="21"/>
        </w:rPr>
        <w:t>pressureInletOutletVelocity</w:t>
      </w:r>
      <w:r>
        <w:rPr>
          <w:rFonts w:ascii="宋体" w:hAnsi="宋体" w:cs="宋体" w:eastAsia="宋体"/>
          <w:color w:val="000000"/>
          <w:sz w:val="22"/>
        </w:rPr>
        <w:t>，允许液体排出。</w:t>
      </w:r>
    </w:p>
    <w:p>
      <w:pPr>
        <w:keepLines w:val="0"/>
        <w:widowControl/>
        <w:spacing w:line="336" w:lineRule="auto" w:after="120"/>
        <w:ind w:firstLine="420"/>
      </w:pPr>
      <w:r>
        <w:rPr>
          <w:rFonts w:ascii="Consolas" w:hAnsi="Consolas" w:cs="Consolas" w:eastAsia="宋体"/>
          <w:color w:val="1F3D50"/>
          <w:sz w:val="21"/>
        </w:rPr>
        <w:t>alpha.water</w:t>
      </w:r>
      <w:r>
        <w:rPr>
          <w:rFonts w:ascii="宋体" w:hAnsi="宋体" w:cs="宋体" w:eastAsia="宋体"/>
          <w:color w:val="000000"/>
          <w:sz w:val="22"/>
        </w:rPr>
        <w:t>顶面采用</w:t>
      </w:r>
      <w:r>
        <w:rPr>
          <w:rFonts w:ascii="Consolas" w:hAnsi="Consolas" w:cs="Consolas" w:eastAsia="宋体"/>
          <w:color w:val="1F3D50"/>
          <w:sz w:val="21"/>
        </w:rPr>
        <w:t>inletOutlet</w:t>
      </w:r>
      <w:r>
        <w:rPr>
          <w:rFonts w:ascii="宋体" w:hAnsi="宋体" w:cs="宋体" w:eastAsia="宋体"/>
          <w:color w:val="000000"/>
          <w:sz w:val="22"/>
        </w:rPr>
        <w:t>，反流时进入水；两侧面为</w:t>
      </w:r>
      <w:r>
        <w:rPr>
          <w:rFonts w:ascii="Consolas" w:hAnsi="Consolas" w:cs="Consolas" w:eastAsia="宋体"/>
          <w:color w:val="1F3D50"/>
          <w:sz w:val="21"/>
        </w:rPr>
        <w:t>wedge</w:t>
      </w:r>
      <w:r>
        <w:rPr>
          <w:rFonts w:ascii="宋体" w:hAnsi="宋体" w:cs="宋体" w:eastAsia="宋体"/>
          <w:color w:val="000000"/>
          <w:sz w:val="22"/>
        </w:rPr>
        <w:t>，退化轴面为</w:t>
      </w:r>
      <w:r>
        <w:rPr>
          <w:rFonts w:ascii="Consolas" w:hAnsi="Consolas" w:cs="Consolas" w:eastAsia="宋体"/>
          <w:color w:val="1F3D50"/>
          <w:sz w:val="21"/>
        </w:rPr>
        <w:t>empty</w:t>
      </w:r>
      <w:r>
        <w:rPr>
          <w:rFonts w:ascii="宋体" w:hAnsi="宋体" w:cs="宋体" w:eastAsia="宋体"/>
          <w:color w:val="000000"/>
          <w:sz w:val="22"/>
        </w:rPr>
        <w:t>。</w:t>
      </w:r>
    </w:p>
    <w:p>
      <w:pPr>
        <w:pStyle w:val="Heading1"/>
        <w:keepNext/>
        <w:spacing w:before="260" w:after="120"/>
      </w:pPr>
      <w:r>
        <w:rPr>
          <w:rFonts w:ascii="黑体" w:hAnsi="黑体" w:cs="黑体" w:eastAsia="黑体"/>
          <w:color w:val="000000"/>
          <w:sz w:val="28"/>
        </w:rPr>
        <w:t>11 物理尺度与离散设置</w:t>
      </w:r>
    </w:p>
    <w:p>
      <w:pPr>
        <w:keepLines w:val="0"/>
        <w:widowControl/>
        <w:spacing w:line="336" w:lineRule="auto" w:after="120"/>
        <w:ind w:firstLine="420"/>
      </w:pPr>
      <w:r>
        <w:rPr>
          <w:rFonts w:ascii="宋体" w:hAnsi="宋体" w:cs="宋体" w:eastAsia="宋体"/>
          <w:color w:val="000000"/>
          <w:sz w:val="22"/>
        </w:rPr>
        <w:t>以孔径0.5 mm和入口速度计算，Re=</w:t>
      </w:r>
      <w:r>
        <w:rPr>
          <w:rFonts w:ascii="Consolas" w:hAnsi="Consolas" w:cs="Consolas" w:eastAsia="宋体"/>
          <w:color w:val="1F3D50"/>
          <w:sz w:val="21"/>
        </w:rPr>
        <w:t>Uin</w:t>
      </w:r>
      <w:r>
        <w:rPr>
          <w:rFonts w:ascii="宋体" w:hAnsi="宋体" w:cs="宋体" w:eastAsia="宋体"/>
          <w:color w:val="000000"/>
          <w:sz w:val="22"/>
        </w:rPr>
        <w:t xml:space="preserve"> d/νl=12.5，Ca=μl </w:t>
      </w:r>
      <w:r>
        <w:rPr>
          <w:rFonts w:ascii="Consolas" w:hAnsi="Consolas" w:cs="Consolas" w:eastAsia="宋体"/>
          <w:color w:val="1F3D50"/>
          <w:sz w:val="21"/>
        </w:rPr>
        <w:t>Uin/</w:t>
      </w:r>
      <w:r>
        <w:rPr>
          <w:rFonts w:ascii="宋体" w:hAnsi="宋体" w:cs="宋体" w:eastAsia="宋体"/>
          <w:color w:val="000000"/>
          <w:sz w:val="22"/>
        </w:rPr>
        <w:t>σ≈3.47</w:t>
      </w:r>
      <w:r>
        <w:rPr>
          <w:rFonts w:ascii="Consolas" w:hAnsi="Consolas" w:cs="Consolas" w:eastAsia="宋体"/>
          <w:color w:val="1F3D50"/>
          <w:sz w:val="21"/>
        </w:rPr>
        <w:t>e-4</w:t>
      </w:r>
      <w:r>
        <w:rPr>
          <w:rFonts w:ascii="宋体" w:hAnsi="宋体" w:cs="宋体" w:eastAsia="宋体"/>
          <w:color w:val="000000"/>
          <w:sz w:val="22"/>
        </w:rPr>
        <w:t xml:space="preserve">，We=ρl </w:t>
      </w:r>
      <w:r>
        <w:rPr>
          <w:rFonts w:ascii="Consolas" w:hAnsi="Consolas" w:cs="Consolas" w:eastAsia="宋体"/>
          <w:color w:val="1F3D50"/>
          <w:sz w:val="21"/>
        </w:rPr>
        <w:t>Uin</w:t>
      </w:r>
      <w:r>
        <w:rPr>
          <w:rFonts w:ascii="宋体" w:hAnsi="宋体" w:cs="宋体" w:eastAsia="宋体"/>
          <w:color w:val="000000"/>
          <w:sz w:val="22"/>
        </w:rPr>
        <w:t>²d/σ≈4.33</w:t>
      </w:r>
      <w:r>
        <w:rPr>
          <w:rFonts w:ascii="Consolas" w:hAnsi="Consolas" w:cs="Consolas" w:eastAsia="宋体"/>
          <w:color w:val="1F3D50"/>
          <w:sz w:val="21"/>
        </w:rPr>
        <w:t>e-3</w:t>
      </w:r>
      <w:r>
        <w:rPr>
          <w:rFonts w:ascii="宋体" w:hAnsi="宋体" w:cs="宋体" w:eastAsia="宋体"/>
          <w:color w:val="000000"/>
          <w:sz w:val="22"/>
        </w:rPr>
        <w:t>。以初始球面半径0.4 mm计算，Bo=ΔρgR²/σ≈0.0218，毛细时间</w:t>
      </w:r>
      <w:r>
        <w:rPr>
          <w:rFonts w:ascii="Consolas" w:hAnsi="Consolas" w:cs="Consolas" w:eastAsia="宋体"/>
          <w:color w:val="1F3D50"/>
          <w:sz w:val="21"/>
        </w:rPr>
        <w:t>sqrt(ρlR³/σ)</w:t>
      </w:r>
      <w:r>
        <w:rPr>
          <w:rFonts w:ascii="宋体" w:hAnsi="宋体" w:cs="宋体" w:eastAsia="宋体"/>
          <w:color w:val="000000"/>
          <w:sz w:val="22"/>
        </w:rPr>
        <w:t>≈0.942 ms。当前条件下表面张力作用显著，30 ms对应约32个初始毛细时间。</w:t>
      </w:r>
    </w:p>
    <w:p>
      <w:pPr>
        <w:keepLines w:val="0"/>
        <w:widowControl/>
        <w:spacing w:line="336" w:lineRule="auto" w:after="120"/>
        <w:ind w:firstLine="420"/>
      </w:pPr>
      <w:r>
        <w:rPr>
          <w:rFonts w:ascii="宋体" w:hAnsi="宋体" w:cs="宋体" w:eastAsia="宋体"/>
          <w:color w:val="000000"/>
          <w:sz w:val="22"/>
        </w:rPr>
        <w:t>求解器为本机</w:t>
      </w:r>
      <w:r>
        <w:rPr>
          <w:rFonts w:ascii="Consolas" w:hAnsi="Consolas" w:cs="Consolas" w:eastAsia="宋体"/>
          <w:color w:val="1F3D50"/>
          <w:sz w:val="21"/>
        </w:rPr>
        <w:t>v2512</w:t>
      </w:r>
      <w:r>
        <w:rPr>
          <w:rFonts w:ascii="宋体" w:hAnsi="宋体" w:cs="宋体" w:eastAsia="宋体"/>
          <w:color w:val="000000"/>
          <w:sz w:val="22"/>
        </w:rPr>
        <w:t xml:space="preserve"> </w:t>
      </w:r>
      <w:r>
        <w:rPr>
          <w:rFonts w:ascii="Consolas" w:hAnsi="Consolas" w:cs="Consolas" w:eastAsia="宋体"/>
          <w:color w:val="1F3D50"/>
          <w:sz w:val="21"/>
        </w:rPr>
        <w:t>interIsoFoam</w:t>
      </w:r>
      <w:r>
        <w:rPr>
          <w:rFonts w:ascii="宋体" w:hAnsi="宋体" w:cs="宋体" w:eastAsia="宋体"/>
          <w:color w:val="000000"/>
          <w:sz w:val="22"/>
        </w:rPr>
        <w:t>，界面采用</w:t>
      </w:r>
      <w:r>
        <w:rPr>
          <w:rFonts w:ascii="Consolas" w:hAnsi="Consolas" w:cs="Consolas" w:eastAsia="宋体"/>
          <w:color w:val="1F3D50"/>
          <w:sz w:val="21"/>
        </w:rPr>
        <w:t>isoAdvector</w:t>
      </w:r>
      <w:r>
        <w:rPr>
          <w:rFonts w:ascii="宋体" w:hAnsi="宋体" w:cs="宋体" w:eastAsia="宋体"/>
          <w:color w:val="000000"/>
          <w:sz w:val="22"/>
        </w:rPr>
        <w:t>输运、</w:t>
      </w:r>
      <w:r>
        <w:rPr>
          <w:rFonts w:ascii="Consolas" w:hAnsi="Consolas" w:cs="Consolas" w:eastAsia="宋体"/>
          <w:color w:val="1F3D50"/>
          <w:sz w:val="21"/>
        </w:rPr>
        <w:t>plicRDF</w:t>
      </w:r>
      <w:r>
        <w:rPr>
          <w:rFonts w:ascii="宋体" w:hAnsi="宋体" w:cs="宋体" w:eastAsia="宋体"/>
          <w:color w:val="000000"/>
          <w:sz w:val="22"/>
        </w:rPr>
        <w:t>重构。</w:t>
      </w:r>
      <w:r>
        <w:rPr>
          <w:rFonts w:ascii="Consolas" w:hAnsi="Consolas" w:cs="Consolas" w:eastAsia="宋体"/>
          <w:color w:val="1F3D50"/>
          <w:sz w:val="21"/>
        </w:rPr>
        <w:t>plicRDF</w:t>
      </w:r>
      <w:r>
        <w:rPr>
          <w:rFonts w:ascii="宋体" w:hAnsi="宋体" w:cs="宋体" w:eastAsia="宋体"/>
          <w:color w:val="000000"/>
          <w:sz w:val="22"/>
        </w:rPr>
        <w:t>通过重构距离函数获得界面法向，并在界面单元中构造分片平面；随后依据面被不同相占据的时空比例计算相通量。该过程与</w:t>
      </w:r>
      <w:r>
        <w:rPr>
          <w:rFonts w:ascii="Consolas" w:hAnsi="Consolas" w:cs="Consolas" w:eastAsia="宋体"/>
          <w:color w:val="1F3D50"/>
          <w:sz w:val="21"/>
        </w:rPr>
        <w:t>interFoam</w:t>
      </w:r>
      <w:r>
        <w:rPr>
          <w:rFonts w:ascii="宋体" w:hAnsi="宋体" w:cs="宋体" w:eastAsia="宋体"/>
          <w:color w:val="000000"/>
          <w:sz w:val="22"/>
        </w:rPr>
        <w:t>的代数</w:t>
      </w:r>
      <w:r>
        <w:rPr>
          <w:rFonts w:ascii="Consolas" w:hAnsi="Consolas" w:cs="Consolas" w:eastAsia="宋体"/>
          <w:color w:val="1F3D50"/>
          <w:sz w:val="21"/>
        </w:rPr>
        <w:t>MULES</w:t>
      </w:r>
      <w:r>
        <w:rPr>
          <w:rFonts w:ascii="宋体" w:hAnsi="宋体" w:cs="宋体" w:eastAsia="宋体"/>
          <w:color w:val="000000"/>
          <w:sz w:val="22"/>
        </w:rPr>
        <w:t>处理不同。</w:t>
      </w:r>
    </w:p>
    <w:p>
      <w:pPr>
        <w:keepLines w:val="0"/>
        <w:widowControl/>
        <w:spacing w:line="336" w:lineRule="auto" w:after="120"/>
        <w:ind w:firstLine="420"/>
      </w:pPr>
      <w:r>
        <w:rPr>
          <w:rFonts w:ascii="Consolas" w:hAnsi="Consolas" w:cs="Consolas" w:eastAsia="宋体"/>
          <w:color w:val="1F3D50"/>
          <w:sz w:val="21"/>
        </w:rPr>
        <w:t>fvSolution</w:t>
      </w:r>
      <w:r>
        <w:rPr>
          <w:rFonts w:ascii="宋体" w:hAnsi="宋体" w:cs="宋体" w:eastAsia="宋体"/>
          <w:color w:val="000000"/>
          <w:sz w:val="22"/>
        </w:rPr>
        <w:t>中的</w:t>
      </w:r>
      <w:r>
        <w:rPr>
          <w:rFonts w:ascii="Consolas" w:hAnsi="Consolas" w:cs="Consolas" w:eastAsia="宋体"/>
          <w:color w:val="1F3D50"/>
          <w:sz w:val="21"/>
        </w:rPr>
        <w:t>cAlpha</w:t>
      </w:r>
      <w:r>
        <w:rPr>
          <w:rFonts w:ascii="宋体" w:hAnsi="宋体" w:cs="宋体" w:eastAsia="宋体"/>
          <w:color w:val="000000"/>
          <w:sz w:val="22"/>
        </w:rPr>
        <w:t>保留为</w:t>
      </w:r>
      <w:r>
        <w:rPr>
          <w:rFonts w:ascii="Consolas" w:hAnsi="Consolas" w:cs="Consolas" w:eastAsia="宋体"/>
          <w:color w:val="1F3D50"/>
          <w:sz w:val="21"/>
        </w:rPr>
        <w:t>interfaceProperties</w:t>
      </w:r>
      <w:r>
        <w:rPr>
          <w:rFonts w:ascii="宋体" w:hAnsi="宋体" w:cs="宋体" w:eastAsia="宋体"/>
          <w:color w:val="000000"/>
          <w:sz w:val="22"/>
        </w:rPr>
        <w:t>所需读入条目，并不代表</w:t>
      </w:r>
      <w:r>
        <w:rPr>
          <w:rFonts w:ascii="Consolas" w:hAnsi="Consolas" w:cs="Consolas" w:eastAsia="宋体"/>
          <w:color w:val="1F3D50"/>
          <w:sz w:val="21"/>
        </w:rPr>
        <w:t>isoAdvector</w:t>
      </w:r>
      <w:r>
        <w:rPr>
          <w:rFonts w:ascii="宋体" w:hAnsi="宋体" w:cs="宋体" w:eastAsia="宋体"/>
          <w:color w:val="000000"/>
          <w:sz w:val="22"/>
        </w:rPr>
        <w:t>采用界面压缩通量。</w:t>
      </w:r>
    </w:p>
    <w:p>
      <w:pPr>
        <w:keepLines w:val="0"/>
        <w:widowControl/>
        <w:spacing w:line="336" w:lineRule="auto" w:after="120"/>
        <w:ind w:firstLine="420"/>
      </w:pPr>
      <w:r>
        <w:rPr>
          <w:rFonts w:ascii="宋体" w:hAnsi="宋体" w:cs="宋体" w:eastAsia="宋体"/>
          <w:color w:val="000000"/>
          <w:sz w:val="22"/>
        </w:rPr>
        <w:t>时间离散为</w:t>
      </w:r>
      <w:r>
        <w:rPr>
          <w:rFonts w:ascii="Consolas" w:hAnsi="Consolas" w:cs="Consolas" w:eastAsia="宋体"/>
          <w:color w:val="1F3D50"/>
          <w:sz w:val="21"/>
        </w:rPr>
        <w:t>Euler</w:t>
      </w:r>
      <w:r>
        <w:rPr>
          <w:rFonts w:ascii="宋体" w:hAnsi="宋体" w:cs="宋体" w:eastAsia="宋体"/>
          <w:color w:val="000000"/>
          <w:sz w:val="22"/>
        </w:rPr>
        <w:t>，对流动量项采用</w:t>
      </w:r>
      <w:r>
        <w:rPr>
          <w:rFonts w:ascii="Consolas" w:hAnsi="Consolas" w:cs="Consolas" w:eastAsia="宋体"/>
          <w:color w:val="1F3D50"/>
          <w:sz w:val="21"/>
        </w:rPr>
        <w:t>Gauss</w:t>
      </w:r>
      <w:r>
        <w:rPr>
          <w:rFonts w:ascii="宋体" w:hAnsi="宋体" w:cs="宋体" w:eastAsia="宋体"/>
          <w:color w:val="000000"/>
          <w:sz w:val="22"/>
        </w:rPr>
        <w:t xml:space="preserve"> </w:t>
      </w:r>
      <w:r>
        <w:rPr>
          <w:rFonts w:ascii="Consolas" w:hAnsi="Consolas" w:cs="Consolas" w:eastAsia="宋体"/>
          <w:color w:val="1F3D50"/>
          <w:sz w:val="21"/>
        </w:rPr>
        <w:t>upwind</w:t>
      </w:r>
      <w:r>
        <w:rPr>
          <w:rFonts w:ascii="宋体" w:hAnsi="宋体" w:cs="宋体" w:eastAsia="宋体"/>
          <w:color w:val="000000"/>
          <w:sz w:val="22"/>
        </w:rPr>
        <w:t>，压力校正3次，外循环1次。初始时间步1</w:t>
      </w:r>
      <w:r>
        <w:rPr>
          <w:rFonts w:ascii="Consolas" w:hAnsi="Consolas" w:cs="Consolas" w:eastAsia="宋体"/>
          <w:color w:val="1F3D50"/>
          <w:sz w:val="21"/>
        </w:rPr>
        <w:t>e-5</w:t>
      </w:r>
      <w:r>
        <w:rPr>
          <w:rFonts w:ascii="宋体" w:hAnsi="宋体" w:cs="宋体" w:eastAsia="宋体"/>
          <w:color w:val="000000"/>
          <w:sz w:val="22"/>
        </w:rPr>
        <w:t xml:space="preserve"> s，上限1</w:t>
      </w:r>
      <w:r>
        <w:rPr>
          <w:rFonts w:ascii="Consolas" w:hAnsi="Consolas" w:cs="Consolas" w:eastAsia="宋体"/>
          <w:color w:val="1F3D50"/>
          <w:sz w:val="21"/>
        </w:rPr>
        <w:t>e-5</w:t>
      </w:r>
      <w:r>
        <w:rPr>
          <w:rFonts w:ascii="宋体" w:hAnsi="宋体" w:cs="宋体" w:eastAsia="宋体"/>
          <w:color w:val="000000"/>
          <w:sz w:val="22"/>
        </w:rPr>
        <w:t xml:space="preserve"> s；</w:t>
      </w:r>
      <w:r>
        <w:rPr>
          <w:rFonts w:ascii="Consolas" w:hAnsi="Consolas" w:cs="Consolas" w:eastAsia="宋体"/>
          <w:color w:val="1F3D50"/>
          <w:sz w:val="21"/>
        </w:rPr>
        <w:t>maxCo</w:t>
      </w:r>
      <w:r>
        <w:rPr>
          <w:rFonts w:ascii="宋体" w:hAnsi="宋体" w:cs="宋体" w:eastAsia="宋体"/>
          <w:color w:val="000000"/>
          <w:sz w:val="22"/>
        </w:rPr>
        <w:t>=0.2、</w:t>
      </w:r>
      <w:r>
        <w:rPr>
          <w:rFonts w:ascii="Consolas" w:hAnsi="Consolas" w:cs="Consolas" w:eastAsia="宋体"/>
          <w:color w:val="1F3D50"/>
          <w:sz w:val="21"/>
        </w:rPr>
        <w:t>maxAlphaCo</w:t>
      </w:r>
      <w:r>
        <w:rPr>
          <w:rFonts w:ascii="宋体" w:hAnsi="宋体" w:cs="宋体" w:eastAsia="宋体"/>
          <w:color w:val="000000"/>
          <w:sz w:val="22"/>
        </w:rPr>
        <w:t>=0.15约束自适应时间步。</w:t>
      </w:r>
      <w:r>
        <w:rPr>
          <w:rFonts w:ascii="Consolas" w:hAnsi="Consolas" w:cs="Consolas" w:eastAsia="宋体"/>
          <w:color w:val="1F3D50"/>
          <w:sz w:val="21"/>
        </w:rPr>
        <w:t>Courant</w:t>
      </w:r>
      <w:r>
        <w:rPr>
          <w:rFonts w:ascii="宋体" w:hAnsi="宋体" w:cs="宋体" w:eastAsia="宋体"/>
          <w:color w:val="000000"/>
          <w:sz w:val="22"/>
        </w:rPr>
        <w:t>约束依赖速度和网格，不能代替毛细时间尺度检查。使用</w:t>
      </w:r>
      <w:r>
        <w:rPr>
          <w:rFonts w:ascii="Consolas" w:hAnsi="Consolas" w:cs="Consolas" w:eastAsia="宋体"/>
          <w:color w:val="1F3D50"/>
          <w:sz w:val="21"/>
        </w:rPr>
        <w:t>adjustableRunTime</w:t>
      </w:r>
      <w:r>
        <w:rPr>
          <w:rFonts w:ascii="宋体" w:hAnsi="宋体" w:cs="宋体" w:eastAsia="宋体"/>
          <w:color w:val="000000"/>
          <w:sz w:val="22"/>
        </w:rPr>
        <w:t>每2 ms保存一次，终点为30 ms。</w:t>
      </w:r>
    </w:p>
    <w:p>
      <w:pPr>
        <w:pStyle w:val="Heading1"/>
        <w:keepNext/>
        <w:spacing w:before="260" w:after="120"/>
      </w:pPr>
      <w:r>
        <w:rPr>
          <w:rFonts w:ascii="黑体" w:hAnsi="黑体" w:cs="黑体" w:eastAsia="黑体"/>
          <w:color w:val="000000"/>
          <w:sz w:val="28"/>
        </w:rPr>
        <w:t>12 运行与文件阅读</w:t>
      </w:r>
    </w:p>
    <w:p>
      <w:pPr>
        <w:keepLines w:val="0"/>
        <w:widowControl/>
        <w:spacing w:line="336" w:lineRule="auto" w:after="120"/>
        <w:ind w:firstLine="420"/>
      </w:pPr>
      <w:r>
        <w:rPr>
          <w:rFonts w:ascii="宋体" w:hAnsi="宋体" w:cs="宋体" w:eastAsia="宋体"/>
          <w:color w:val="000000"/>
          <w:sz w:val="22"/>
        </w:rPr>
        <w:t>在已加载</w:t>
      </w:r>
      <w:r>
        <w:rPr>
          <w:rFonts w:ascii="Consolas" w:hAnsi="Consolas" w:cs="Consolas" w:eastAsia="宋体"/>
          <w:color w:val="1F3D50"/>
          <w:sz w:val="21"/>
        </w:rPr>
        <w:t>v2512</w:t>
      </w:r>
      <w:r>
        <w:rPr>
          <w:rFonts w:ascii="宋体" w:hAnsi="宋体" w:cs="宋体" w:eastAsia="宋体"/>
          <w:color w:val="000000"/>
          <w:sz w:val="22"/>
        </w:rPr>
        <w:t>环境的终端中进入当前算例，执行./</w:t>
      </w:r>
      <w:r>
        <w:rPr>
          <w:rFonts w:ascii="Consolas" w:hAnsi="Consolas" w:cs="Consolas" w:eastAsia="宋体"/>
          <w:color w:val="1F3D50"/>
          <w:sz w:val="21"/>
        </w:rPr>
        <w:t>Allrun.sh</w:t>
      </w:r>
      <w:r>
        <w:rPr>
          <w:rFonts w:ascii="宋体" w:hAnsi="宋体" w:cs="宋体" w:eastAsia="宋体"/>
          <w:color w:val="000000"/>
          <w:sz w:val="22"/>
        </w:rPr>
        <w:t>。脚本依次执行</w:t>
      </w:r>
      <w:r>
        <w:rPr>
          <w:rFonts w:ascii="Consolas" w:hAnsi="Consolas" w:cs="Consolas" w:eastAsia="宋体"/>
          <w:color w:val="1F3D50"/>
          <w:sz w:val="21"/>
        </w:rPr>
        <w:t>blockMesh</w:t>
      </w:r>
      <w:r>
        <w:rPr>
          <w:rFonts w:ascii="宋体" w:hAnsi="宋体" w:cs="宋体" w:eastAsia="宋体"/>
          <w:color w:val="000000"/>
          <w:sz w:val="22"/>
        </w:rPr>
        <w:t>、</w:t>
      </w:r>
      <w:r>
        <w:rPr>
          <w:rFonts w:ascii="Consolas" w:hAnsi="Consolas" w:cs="Consolas" w:eastAsia="宋体"/>
          <w:color w:val="1F3D50"/>
          <w:sz w:val="21"/>
        </w:rPr>
        <w:t>checkMesh</w:t>
      </w:r>
      <w:r>
        <w:rPr>
          <w:rFonts w:ascii="宋体" w:hAnsi="宋体" w:cs="宋体" w:eastAsia="宋体"/>
          <w:color w:val="000000"/>
          <w:sz w:val="22"/>
        </w:rPr>
        <w:t>、初始化命令和</w:t>
      </w:r>
      <w:r>
        <w:rPr>
          <w:rFonts w:ascii="Consolas" w:hAnsi="Consolas" w:cs="Consolas" w:eastAsia="宋体"/>
          <w:color w:val="1F3D50"/>
          <w:sz w:val="21"/>
        </w:rPr>
        <w:t>interIsoFoam</w:t>
      </w:r>
      <w:r>
        <w:rPr>
          <w:rFonts w:ascii="宋体" w:hAnsi="宋体" w:cs="宋体" w:eastAsia="宋体"/>
          <w:color w:val="000000"/>
          <w:sz w:val="22"/>
        </w:rPr>
        <w:t>，所有字典均位于本目录。</w:t>
      </w:r>
    </w:p>
    <w:p>
      <w:pPr>
        <w:keepLines w:val="0"/>
        <w:widowControl/>
        <w:spacing w:line="336" w:lineRule="auto" w:after="120"/>
        <w:ind w:firstLine="420"/>
      </w:pPr>
      <w:r>
        <w:rPr>
          <w:rFonts w:ascii="Consolas" w:hAnsi="Consolas" w:cs="Consolas" w:eastAsia="宋体"/>
          <w:color w:val="1F3D50"/>
          <w:sz w:val="21"/>
        </w:rPr>
        <w:t>blockMesh</w:t>
      </w:r>
      <w:r>
        <w:rPr>
          <w:rFonts w:ascii="宋体" w:hAnsi="宋体" w:cs="宋体" w:eastAsia="宋体"/>
          <w:color w:val="000000"/>
          <w:sz w:val="22"/>
        </w:rPr>
        <w:t>读取</w:t>
      </w:r>
      <w:r>
        <w:rPr>
          <w:rFonts w:ascii="Consolas" w:hAnsi="Consolas" w:cs="Consolas" w:eastAsia="宋体"/>
          <w:color w:val="1F3D50"/>
          <w:sz w:val="21"/>
        </w:rPr>
        <w:t>system/blockMeshDict</w:t>
      </w:r>
      <w:r>
        <w:rPr>
          <w:rFonts w:ascii="宋体" w:hAnsi="宋体" w:cs="宋体" w:eastAsia="宋体"/>
          <w:color w:val="000000"/>
          <w:sz w:val="22"/>
        </w:rPr>
        <w:t>；初始化工具写入0/</w:t>
      </w:r>
      <w:r>
        <w:rPr>
          <w:rFonts w:ascii="Consolas" w:hAnsi="Consolas" w:cs="Consolas" w:eastAsia="宋体"/>
          <w:color w:val="1F3D50"/>
          <w:sz w:val="21"/>
        </w:rPr>
        <w:t>alpha.water</w:t>
      </w:r>
      <w:r>
        <w:rPr>
          <w:rFonts w:ascii="宋体" w:hAnsi="宋体" w:cs="宋体" w:eastAsia="宋体"/>
          <w:color w:val="000000"/>
          <w:sz w:val="22"/>
        </w:rPr>
        <w:t>；求解器读取0、</w:t>
      </w:r>
      <w:r>
        <w:rPr>
          <w:rFonts w:ascii="Consolas" w:hAnsi="Consolas" w:cs="Consolas" w:eastAsia="宋体"/>
          <w:color w:val="1F3D50"/>
          <w:sz w:val="21"/>
        </w:rPr>
        <w:t>constant</w:t>
      </w:r>
      <w:r>
        <w:rPr>
          <w:rFonts w:ascii="宋体" w:hAnsi="宋体" w:cs="宋体" w:eastAsia="宋体"/>
          <w:color w:val="000000"/>
          <w:sz w:val="22"/>
        </w:rPr>
        <w:t>和</w:t>
      </w:r>
      <w:r>
        <w:rPr>
          <w:rFonts w:ascii="Consolas" w:hAnsi="Consolas" w:cs="Consolas" w:eastAsia="宋体"/>
          <w:color w:val="1F3D50"/>
          <w:sz w:val="21"/>
        </w:rPr>
        <w:t>system</w:t>
      </w:r>
      <w:r>
        <w:rPr>
          <w:rFonts w:ascii="宋体" w:hAnsi="宋体" w:cs="宋体" w:eastAsia="宋体"/>
          <w:color w:val="000000"/>
          <w:sz w:val="22"/>
        </w:rPr>
        <w:t>，并将场写入时间目录。日志中的“</w:t>
      </w:r>
      <w:r>
        <w:rPr>
          <w:rFonts w:ascii="Consolas" w:hAnsi="Consolas" w:cs="Consolas" w:eastAsia="宋体"/>
          <w:color w:val="1F3D50"/>
          <w:sz w:val="21"/>
        </w:rPr>
        <w:t>Selecting</w:t>
      </w:r>
      <w:r>
        <w:rPr>
          <w:rFonts w:ascii="宋体" w:hAnsi="宋体" w:cs="宋体" w:eastAsia="宋体"/>
          <w:color w:val="000000"/>
          <w:sz w:val="22"/>
        </w:rPr>
        <w:t xml:space="preserve"> </w:t>
      </w:r>
      <w:r>
        <w:rPr>
          <w:rFonts w:ascii="Consolas" w:hAnsi="Consolas" w:cs="Consolas" w:eastAsia="宋体"/>
          <w:color w:val="1F3D50"/>
          <w:sz w:val="21"/>
        </w:rPr>
        <w:t>reconstructionScheme</w:t>
      </w:r>
      <w:r>
        <w:rPr>
          <w:rFonts w:ascii="宋体" w:hAnsi="宋体" w:cs="宋体" w:eastAsia="宋体"/>
          <w:color w:val="000000"/>
          <w:sz w:val="22"/>
        </w:rPr>
        <w:t xml:space="preserve"> </w:t>
      </w:r>
      <w:r>
        <w:rPr>
          <w:rFonts w:ascii="Consolas" w:hAnsi="Consolas" w:cs="Consolas" w:eastAsia="宋体"/>
          <w:color w:val="1F3D50"/>
          <w:sz w:val="21"/>
        </w:rPr>
        <w:t>plicRDF</w:t>
      </w:r>
      <w:r>
        <w:rPr>
          <w:rFonts w:ascii="宋体" w:hAnsi="宋体" w:cs="宋体" w:eastAsia="宋体"/>
          <w:color w:val="000000"/>
          <w:sz w:val="22"/>
        </w:rPr>
        <w:t>”和“</w:t>
      </w:r>
      <w:r>
        <w:rPr>
          <w:rFonts w:ascii="Consolas" w:hAnsi="Consolas" w:cs="Consolas" w:eastAsia="宋体"/>
          <w:color w:val="1F3D50"/>
          <w:sz w:val="21"/>
        </w:rPr>
        <w:t>isoAdvection</w:t>
      </w:r>
      <w:r>
        <w:rPr>
          <w:rFonts w:ascii="宋体" w:hAnsi="宋体" w:cs="宋体" w:eastAsia="宋体"/>
          <w:color w:val="000000"/>
          <w:sz w:val="22"/>
        </w:rPr>
        <w:t>”用于确认实际算法。</w:t>
      </w:r>
    </w:p>
    <w:p>
      <w:pPr>
        <w:keepNext/>
        <w:spacing w:line="252" w:lineRule="auto" w:after="20" w:before="0"/>
        <w:ind w:left="227" w:right="160" w:firstLine="0"/>
        <w:keepLines/>
        <w:shd w:fill="F4F6F7"/>
      </w:pPr>
      <w:r>
        <w:rPr>
          <w:rFonts w:ascii="Consolas" w:hAnsi="Consolas" w:eastAsia="宋体" w:cs="Consolas"/>
          <w:b w:val="0"/>
          <w:color w:val="183C52"/>
          <w:sz w:val="19"/>
        </w:rPr>
        <w:t>blockMesh &gt; log.blockMesh 2&gt;&amp;1</w:t>
      </w:r>
    </w:p>
    <w:p>
      <w:pPr>
        <w:keepNext/>
        <w:spacing w:line="252" w:lineRule="auto" w:after="20" w:before="0"/>
        <w:ind w:left="227" w:right="160" w:firstLine="0"/>
        <w:keepLines/>
        <w:shd w:fill="F4F6F7"/>
      </w:pPr>
      <w:r>
        <w:rPr>
          <w:rFonts w:ascii="Consolas" w:hAnsi="Consolas" w:eastAsia="宋体" w:cs="Consolas"/>
          <w:b w:val="0"/>
          <w:color w:val="183C52"/>
          <w:sz w:val="19"/>
        </w:rPr>
        <w:t>checkMesh &gt; log.checkMesh 2&gt;&amp;1</w:t>
      </w:r>
    </w:p>
    <w:p>
      <w:pPr>
        <w:keepNext/>
        <w:spacing w:line="252" w:lineRule="auto" w:after="20" w:before="0"/>
        <w:ind w:left="227" w:right="160" w:firstLine="0"/>
        <w:keepLines/>
        <w:shd w:fill="F4F6F7"/>
      </w:pPr>
      <w:r>
        <w:rPr>
          <w:rFonts w:ascii="Consolas" w:hAnsi="Consolas" w:eastAsia="宋体" w:cs="Consolas"/>
          <w:b w:val="0"/>
          <w:color w:val="183C52"/>
          <w:sz w:val="19"/>
        </w:rPr>
        <w:t>setFields &gt; log.setFields 2&gt;&amp;1</w:t>
      </w:r>
    </w:p>
    <w:p>
      <w:pPr>
        <w:keepNext w:val="0"/>
        <w:spacing w:line="252" w:lineRule="auto" w:after="20" w:before="0"/>
        <w:ind w:left="227" w:right="160" w:firstLine="0"/>
        <w:keepLines/>
        <w:shd w:fill="F4F6F7"/>
      </w:pPr>
      <w:r>
        <w:rPr>
          <w:rFonts w:ascii="Consolas" w:hAnsi="Consolas" w:eastAsia="宋体" w:cs="Consolas"/>
          <w:b w:val="0"/>
          <w:color w:val="183C52"/>
          <w:sz w:val="19"/>
        </w:rPr>
        <w:t>interIsoFoam &gt; log.interIsoFoam 2&gt;&amp;1</w:t>
      </w:r>
    </w:p>
    <w:p>
      <w:pPr>
        <w:spacing w:after="20"/>
      </w:pPr>
    </w:p>
    <w:p>
      <w:pPr>
        <w:keepLines w:val="0"/>
        <w:widowControl/>
        <w:spacing w:line="336" w:lineRule="auto" w:after="120"/>
        <w:ind w:firstLine="420"/>
      </w:pPr>
      <w:r>
        <w:rPr>
          <w:rFonts w:ascii="宋体" w:hAnsi="宋体" w:cs="宋体" w:eastAsia="宋体"/>
          <w:color w:val="000000"/>
          <w:sz w:val="22"/>
        </w:rPr>
        <w:t>几何初始化案例的第三条命令为</w:t>
      </w:r>
      <w:r>
        <w:rPr>
          <w:rFonts w:ascii="Consolas" w:hAnsi="Consolas" w:cs="Consolas" w:eastAsia="宋体"/>
          <w:color w:val="1F3D50"/>
          <w:sz w:val="21"/>
        </w:rPr>
        <w:t>setAlphaField</w:t>
      </w:r>
      <w:r>
        <w:rPr>
          <w:rFonts w:ascii="宋体" w:hAnsi="宋体" w:cs="宋体" w:eastAsia="宋体"/>
          <w:color w:val="000000"/>
          <w:sz w:val="22"/>
        </w:rPr>
        <w:t xml:space="preserve"> &gt; </w:t>
      </w:r>
      <w:r>
        <w:rPr>
          <w:rFonts w:ascii="Consolas" w:hAnsi="Consolas" w:cs="Consolas" w:eastAsia="宋体"/>
          <w:color w:val="1F3D50"/>
          <w:sz w:val="21"/>
        </w:rPr>
        <w:t>log.setAlphaField</w:t>
      </w:r>
      <w:r>
        <w:rPr>
          <w:rFonts w:ascii="宋体" w:hAnsi="宋体" w:cs="宋体" w:eastAsia="宋体"/>
          <w:color w:val="000000"/>
          <w:sz w:val="22"/>
        </w:rPr>
        <w:t xml:space="preserve"> 2&gt;&amp;1。随后读取孔口的</w:t>
      </w:r>
      <w:r>
        <w:rPr>
          <w:rFonts w:ascii="Consolas" w:hAnsi="Consolas" w:cs="Consolas" w:eastAsia="宋体"/>
          <w:color w:val="1F3D50"/>
          <w:sz w:val="21"/>
        </w:rPr>
        <w:t>alpha.water</w:t>
      </w:r>
      <w:r>
        <w:rPr>
          <w:rFonts w:ascii="宋体" w:hAnsi="宋体" w:cs="宋体" w:eastAsia="宋体"/>
          <w:color w:val="000000"/>
          <w:sz w:val="22"/>
        </w:rPr>
        <w:t>边界值，确认其为</w:t>
      </w:r>
      <w:r>
        <w:rPr>
          <w:rFonts w:ascii="Consolas" w:hAnsi="Consolas" w:cs="Consolas" w:eastAsia="宋体"/>
          <w:color w:val="1F3D50"/>
          <w:sz w:val="21"/>
        </w:rPr>
        <w:t>uniform</w:t>
      </w:r>
      <w:r>
        <w:rPr>
          <w:rFonts w:ascii="宋体" w:hAnsi="宋体" w:cs="宋体" w:eastAsia="宋体"/>
          <w:color w:val="000000"/>
          <w:sz w:val="22"/>
        </w:rPr>
        <w:t xml:space="preserve"> 0，保证输入气体。查看图形时打开</w:t>
      </w:r>
      <w:r>
        <w:rPr>
          <w:rFonts w:ascii="Consolas" w:hAnsi="Consolas" w:cs="Consolas" w:eastAsia="宋体"/>
          <w:color w:val="1F3D50"/>
          <w:sz w:val="21"/>
        </w:rPr>
        <w:t>case.foam</w:t>
      </w:r>
      <w:r>
        <w:rPr>
          <w:rFonts w:ascii="宋体" w:hAnsi="宋体" w:cs="宋体" w:eastAsia="宋体"/>
          <w:color w:val="000000"/>
          <w:sz w:val="22"/>
        </w:rPr>
        <w:t>，在</w:t>
      </w:r>
      <w:r>
        <w:rPr>
          <w:rFonts w:ascii="Consolas" w:hAnsi="Consolas" w:cs="Consolas" w:eastAsia="宋体"/>
          <w:color w:val="1F3D50"/>
          <w:sz w:val="21"/>
        </w:rPr>
        <w:t>alpha.water</w:t>
      </w:r>
      <w:r>
        <w:rPr>
          <w:rFonts w:ascii="宋体" w:hAnsi="宋体" w:cs="宋体" w:eastAsia="宋体"/>
          <w:color w:val="000000"/>
          <w:sz w:val="22"/>
        </w:rPr>
        <w:t>上提取0.5等值线，并显示底部不同</w:t>
      </w:r>
      <w:r>
        <w:rPr>
          <w:rFonts w:ascii="Consolas" w:hAnsi="Consolas" w:cs="Consolas" w:eastAsia="宋体"/>
          <w:color w:val="1F3D50"/>
          <w:sz w:val="21"/>
        </w:rPr>
        <w:t>patch</w:t>
      </w:r>
      <w:r>
        <w:rPr>
          <w:rFonts w:ascii="宋体" w:hAnsi="宋体" w:cs="宋体" w:eastAsia="宋体"/>
          <w:color w:val="000000"/>
          <w:sz w:val="22"/>
        </w:rPr>
        <w:t>的位置。各参数组分别存放，比较时使用相同物理时刻。</w:t>
      </w:r>
    </w:p>
    <w:p>
      <w:pPr>
        <w:pStyle w:val="Heading1"/>
        <w:keepNext/>
        <w:spacing w:before="260" w:after="120"/>
      </w:pPr>
      <w:r>
        <w:rPr>
          <w:rFonts w:ascii="黑体" w:hAnsi="黑体" w:cs="黑体" w:eastAsia="黑体"/>
          <w:color w:val="000000"/>
          <w:sz w:val="28"/>
        </w:rPr>
        <w:t>13 三组实际结果及其含义</w:t>
      </w:r>
    </w:p>
    <w:p>
      <w:pPr>
        <w:keepLines w:val="0"/>
        <w:widowControl/>
        <w:spacing w:line="336" w:lineRule="auto" w:after="120"/>
        <w:ind w:firstLine="420"/>
      </w:pPr>
      <w:r>
        <w:rPr>
          <w:rFonts w:ascii="宋体" w:hAnsi="宋体" w:cs="宋体" w:eastAsia="宋体"/>
          <w:color w:val="000000"/>
          <w:sz w:val="22"/>
        </w:rPr>
        <w:t>三例均计算到0.03 s。统一润湿与分区润湿的初始体积为1.403808467</w:t>
      </w:r>
      <w:r>
        <w:rPr>
          <w:rFonts w:ascii="Consolas" w:hAnsi="Consolas" w:cs="Consolas" w:eastAsia="宋体"/>
          <w:color w:val="1F3D50"/>
          <w:sz w:val="21"/>
        </w:rPr>
        <w:t>e-10</w:t>
      </w:r>
      <w:r>
        <w:rPr>
          <w:rFonts w:ascii="宋体" w:hAnsi="宋体" w:cs="宋体" w:eastAsia="宋体"/>
          <w:color w:val="000000"/>
          <w:sz w:val="22"/>
        </w:rPr>
        <w:t xml:space="preserve"> m³，几何初始化例为1.331292790</w:t>
      </w:r>
      <w:r>
        <w:rPr>
          <w:rFonts w:ascii="Consolas" w:hAnsi="Consolas" w:cs="Consolas" w:eastAsia="宋体"/>
          <w:color w:val="1F3D50"/>
          <w:sz w:val="21"/>
        </w:rPr>
        <w:t>e-10</w:t>
      </w:r>
      <w:r>
        <w:rPr>
          <w:rFonts w:ascii="宋体" w:hAnsi="宋体" w:cs="宋体" w:eastAsia="宋体"/>
          <w:color w:val="000000"/>
          <w:sz w:val="22"/>
        </w:rPr>
        <w:t xml:space="preserve"> m³。精确半球体积为1.340412866</w:t>
      </w:r>
      <w:r>
        <w:rPr>
          <w:rFonts w:ascii="Consolas" w:hAnsi="Consolas" w:cs="Consolas" w:eastAsia="宋体"/>
          <w:color w:val="1F3D50"/>
          <w:sz w:val="21"/>
        </w:rPr>
        <w:t>e-10</w:t>
      </w:r>
      <w:r>
        <w:rPr>
          <w:rFonts w:ascii="宋体" w:hAnsi="宋体" w:cs="宋体" w:eastAsia="宋体"/>
          <w:color w:val="000000"/>
          <w:sz w:val="22"/>
        </w:rPr>
        <w:t xml:space="preserve"> m³。初始化方法造成的体积差异不能用后续守恒误差解释：前者由曲面离散产生，后者检验输运过程中是否符合给定流量。</w:t>
      </w:r>
    </w:p>
    <w:p>
      <w:pPr>
        <w:keepLines w:val="0"/>
        <w:widowControl/>
        <w:spacing w:line="336" w:lineRule="auto" w:after="120"/>
        <w:ind w:firstLine="420"/>
      </w:pPr>
      <w:r>
        <w:rPr>
          <w:rFonts w:ascii="宋体" w:hAnsi="宋体" w:cs="宋体" w:eastAsia="宋体"/>
          <w:color w:val="000000"/>
          <w:sz w:val="22"/>
        </w:rPr>
        <w:t>统一润湿与分区润湿的最终壁面</w:t>
      </w:r>
      <w:r>
        <w:rPr>
          <w:rFonts w:ascii="Consolas" w:hAnsi="Consolas" w:cs="Consolas" w:eastAsia="宋体"/>
          <w:color w:val="1F3D50"/>
          <w:sz w:val="21"/>
        </w:rPr>
        <w:t>alpha</w:t>
      </w:r>
      <w:r>
        <w:rPr>
          <w:rFonts w:ascii="宋体" w:hAnsi="宋体" w:cs="宋体" w:eastAsia="宋体"/>
          <w:color w:val="000000"/>
          <w:sz w:val="22"/>
        </w:rPr>
        <w:t>=0.5半径分别为0.496394、0.546860 mm。分区半径为0.55 mm，内环较大的液侧角对应较小的气侧角，气泡更易铺展；进入外环后边界角改变，接触范围的增长受到影响。应使用整个时间序列判断这一过程，而不能只凭末帧认定接触线已经达到静态平衡。</w:t>
      </w:r>
    </w:p>
    <w:p>
      <w:pPr>
        <w:keepNext/>
        <w:spacing w:before="120" w:after="120"/>
        <w:jc w:val="center"/>
      </w:pPr>
      <w:r>
        <w:drawing>
          <wp:inline xmlns:a="http://schemas.openxmlformats.org/drawingml/2006/main" xmlns:pic="http://schemas.openxmlformats.org/drawingml/2006/picture">
            <wp:extent cx="5260853" cy="3474719"/>
            <wp:docPr id="5" name="Picture 5"/>
            <wp:cNvGraphicFramePr>
              <a:graphicFrameLocks noChangeAspect="1"/>
            </wp:cNvGraphicFramePr>
            <a:graphic>
              <a:graphicData uri="http://schemas.openxmlformats.org/drawingml/2006/picture">
                <pic:pic>
                  <pic:nvPicPr>
                    <pic:cNvPr id="0" name="研究案例_wetting_radius_comparison.png"/>
                    <pic:cNvPicPr/>
                  </pic:nvPicPr>
                  <pic:blipFill>
                    <a:blip r:embed="rId13"/>
                    <a:stretch>
                      <a:fillRect/>
                    </a:stretch>
                  </pic:blipFill>
                  <pic:spPr>
                    <a:xfrm>
                      <a:off x="0" y="0"/>
                      <a:ext cx="5260853"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由壁面相分数在相邻边界面中心间线性插值；空间分辨率受边界面尺寸限制。</w:t>
      </w:r>
    </w:p>
    <w:p>
      <w:pPr>
        <w:keepNext/>
        <w:spacing w:before="120" w:after="120"/>
        <w:jc w:val="center"/>
      </w:pPr>
      <w:r>
        <w:drawing>
          <wp:inline xmlns:a="http://schemas.openxmlformats.org/drawingml/2006/main" xmlns:pic="http://schemas.openxmlformats.org/drawingml/2006/picture">
            <wp:extent cx="4923832" cy="3474719"/>
            <wp:docPr id="6" name="Picture 6"/>
            <wp:cNvGraphicFramePr>
              <a:graphicFrameLocks noChangeAspect="1"/>
            </wp:cNvGraphicFramePr>
            <a:graphic>
              <a:graphicData uri="http://schemas.openxmlformats.org/drawingml/2006/picture">
                <pic:pic>
                  <pic:nvPicPr>
                    <pic:cNvPr id="0" name="研究案例_wetting_volume_budget.png"/>
                    <pic:cNvPicPr/>
                  </pic:nvPicPr>
                  <pic:blipFill>
                    <a:blip r:embed="rId14"/>
                    <a:stretch>
                      <a:fillRect/>
                    </a:stretch>
                  </pic:blipFill>
                  <pic:spPr>
                    <a:xfrm>
                      <a:off x="0" y="0"/>
                      <a:ext cx="4923832"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两组网格、入口速度、物性与初始球冠相同，仅润湿分区改变。</w:t>
      </w:r>
    </w:p>
    <w:p>
      <w:pPr>
        <w:pStyle w:val="Heading1"/>
        <w:keepNext/>
        <w:spacing w:before="260" w:after="120"/>
      </w:pPr>
      <w:r>
        <w:rPr>
          <w:rFonts w:ascii="黑体" w:hAnsi="黑体" w:cs="黑体" w:eastAsia="黑体"/>
          <w:color w:val="000000"/>
          <w:sz w:val="28"/>
        </w:rPr>
        <w:t>14 初始化与研究设计</w:t>
      </w:r>
    </w:p>
    <w:p>
      <w:pPr>
        <w:keepLines w:val="0"/>
        <w:widowControl/>
        <w:spacing w:line="336" w:lineRule="auto" w:after="120"/>
        <w:ind w:firstLine="420"/>
      </w:pPr>
      <w:r>
        <w:rPr>
          <w:rFonts w:ascii="Consolas" w:hAnsi="Consolas" w:cs="Consolas" w:eastAsia="宋体"/>
          <w:color w:val="1F3D50"/>
          <w:sz w:val="21"/>
        </w:rPr>
        <w:t>setAlphaField</w:t>
      </w:r>
      <w:r>
        <w:rPr>
          <w:rFonts w:ascii="宋体" w:hAnsi="宋体" w:cs="宋体" w:eastAsia="宋体"/>
          <w:color w:val="000000"/>
          <w:sz w:val="22"/>
        </w:rPr>
        <w:t>使用球面隐式函数在网格点上的值切割单元。本例设置</w:t>
      </w:r>
      <w:r>
        <w:rPr>
          <w:rFonts w:ascii="Consolas" w:hAnsi="Consolas" w:cs="Consolas" w:eastAsia="宋体"/>
          <w:color w:val="1F3D50"/>
          <w:sz w:val="21"/>
        </w:rPr>
        <w:t>sphere</w:t>
      </w:r>
      <w:r>
        <w:rPr>
          <w:rFonts w:ascii="宋体" w:hAnsi="宋体" w:cs="宋体" w:eastAsia="宋体"/>
          <w:color w:val="000000"/>
          <w:sz w:val="22"/>
        </w:rPr>
        <w:t>、</w:t>
      </w:r>
      <w:r>
        <w:rPr>
          <w:rFonts w:ascii="Consolas" w:hAnsi="Consolas" w:cs="Consolas" w:eastAsia="宋体"/>
          <w:color w:val="1F3D50"/>
          <w:sz w:val="21"/>
        </w:rPr>
        <w:t>origin</w:t>
      </w:r>
      <w:r>
        <w:rPr>
          <w:rFonts w:ascii="宋体" w:hAnsi="宋体" w:cs="宋体" w:eastAsia="宋体"/>
          <w:color w:val="000000"/>
          <w:sz w:val="22"/>
        </w:rPr>
        <w:t xml:space="preserve"> (0 0 0)、</w:t>
      </w:r>
      <w:r>
        <w:rPr>
          <w:rFonts w:ascii="Consolas" w:hAnsi="Consolas" w:cs="Consolas" w:eastAsia="宋体"/>
          <w:color w:val="1F3D50"/>
          <w:sz w:val="21"/>
        </w:rPr>
        <w:t>radius</w:t>
      </w:r>
      <w:r>
        <w:rPr>
          <w:rFonts w:ascii="宋体" w:hAnsi="宋体" w:cs="宋体" w:eastAsia="宋体"/>
          <w:color w:val="000000"/>
          <w:sz w:val="22"/>
        </w:rPr>
        <w:t xml:space="preserve"> 0.0004及</w:t>
      </w:r>
      <w:r>
        <w:rPr>
          <w:rFonts w:ascii="Consolas" w:hAnsi="Consolas" w:cs="Consolas" w:eastAsia="宋体"/>
          <w:color w:val="1F3D50"/>
          <w:sz w:val="21"/>
        </w:rPr>
        <w:t>scale</w:t>
      </w:r>
      <w:r>
        <w:rPr>
          <w:rFonts w:ascii="宋体" w:hAnsi="宋体" w:cs="宋体" w:eastAsia="宋体"/>
          <w:color w:val="000000"/>
          <w:sz w:val="22"/>
        </w:rPr>
        <w:t xml:space="preserve"> -1。切割得到混合单元体积分数，比按中心赋0或1更接近原始几何；但单元内曲面仍由局部平面近似，因此不能将几何初始化理解为消除了网格误差。</w:t>
      </w:r>
    </w:p>
    <w:p>
      <w:pPr>
        <w:keepLines w:val="0"/>
        <w:widowControl/>
        <w:spacing w:line="336" w:lineRule="auto" w:after="120"/>
        <w:ind w:firstLine="420"/>
      </w:pPr>
      <w:r>
        <w:rPr>
          <w:rFonts w:ascii="宋体" w:hAnsi="宋体" w:cs="宋体" w:eastAsia="宋体"/>
          <w:color w:val="000000"/>
          <w:sz w:val="22"/>
        </w:rPr>
        <w:t>几何初始化例的最终体积为2.804849741</w:t>
      </w:r>
      <w:r>
        <w:rPr>
          <w:rFonts w:ascii="Consolas" w:hAnsi="Consolas" w:cs="Consolas" w:eastAsia="宋体"/>
          <w:color w:val="1F3D50"/>
          <w:sz w:val="21"/>
        </w:rPr>
        <w:t>e-10</w:t>
      </w:r>
      <w:r>
        <w:rPr>
          <w:rFonts w:ascii="宋体" w:hAnsi="宋体" w:cs="宋体" w:eastAsia="宋体"/>
          <w:color w:val="000000"/>
          <w:sz w:val="22"/>
        </w:rPr>
        <w:t xml:space="preserve"> m³，体积收支相对误差4.545576</w:t>
      </w:r>
      <w:r>
        <w:rPr>
          <w:rFonts w:ascii="Consolas" w:hAnsi="Consolas" w:cs="Consolas" w:eastAsia="宋体"/>
          <w:color w:val="1F3D50"/>
          <w:sz w:val="21"/>
        </w:rPr>
        <w:t>e-08</w:t>
      </w:r>
      <w:r>
        <w:rPr>
          <w:rFonts w:ascii="宋体" w:hAnsi="宋体" w:cs="宋体" w:eastAsia="宋体"/>
          <w:color w:val="000000"/>
          <w:sz w:val="22"/>
        </w:rPr>
        <w:t>。比较不同初始化方法时，先使用各自离散V0计算</w:t>
      </w:r>
      <w:r>
        <w:rPr>
          <w:rFonts w:ascii="Consolas" w:hAnsi="Consolas" w:cs="Consolas" w:eastAsia="宋体"/>
          <w:color w:val="1F3D50"/>
          <w:sz w:val="21"/>
        </w:rPr>
        <w:t>V0+Qt</w:t>
      </w:r>
      <w:r>
        <w:rPr>
          <w:rFonts w:ascii="宋体" w:hAnsi="宋体" w:cs="宋体" w:eastAsia="宋体"/>
          <w:color w:val="000000"/>
          <w:sz w:val="22"/>
        </w:rPr>
        <w:t>，再比较壁面位置和质心。若直接比较末体积而忽略初值差异，会把初始化差异误认为输运误差。</w:t>
      </w:r>
    </w:p>
    <w:p>
      <w:pPr>
        <w:keepNext/>
        <w:spacing w:before="120" w:after="120"/>
        <w:jc w:val="center"/>
      </w:pPr>
      <w:r>
        <w:drawing>
          <wp:inline xmlns:a="http://schemas.openxmlformats.org/drawingml/2006/main" xmlns:pic="http://schemas.openxmlformats.org/drawingml/2006/picture">
            <wp:extent cx="2897044" cy="3474720"/>
            <wp:docPr id="7" name="Picture 7"/>
            <wp:cNvGraphicFramePr>
              <a:graphicFrameLocks noChangeAspect="1"/>
            </wp:cNvGraphicFramePr>
            <a:graphic>
              <a:graphicData uri="http://schemas.openxmlformats.org/drawingml/2006/picture">
                <pic:pic>
                  <pic:nvPicPr>
                    <pic:cNvPr id="0" name="研究案例_iso_growth_geometricInit_interface.png"/>
                    <pic:cNvPicPr/>
                  </pic:nvPicPr>
                  <pic:blipFill>
                    <a:blip r:embed="rId15"/>
                    <a:stretch>
                      <a:fillRect/>
                    </a:stretch>
                  </pic:blipFill>
                  <pic:spPr>
                    <a:xfrm>
                      <a:off x="0" y="0"/>
                      <a:ext cx="2897044" cy="347472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内环 θ0=90°；外环 θ0=90°；</w:t>
      </w:r>
      <w:r>
        <w:rPr>
          <w:rFonts w:ascii="Consolas" w:hAnsi="Consolas" w:cs="Consolas" w:eastAsia="宋体"/>
          <w:color w:val="1F3D50"/>
          <w:sz w:val="21"/>
        </w:rPr>
        <w:t>Uin</w:t>
      </w:r>
      <w:r>
        <w:rPr>
          <w:rFonts w:ascii="宋体" w:hAnsi="宋体" w:cs="宋体" w:eastAsia="宋体"/>
          <w:color w:val="000000"/>
          <w:sz w:val="22"/>
        </w:rPr>
        <w:t xml:space="preserve">=0.025 </w:t>
      </w:r>
      <w:r>
        <w:rPr>
          <w:rFonts w:ascii="Consolas" w:hAnsi="Consolas" w:cs="Consolas" w:eastAsia="宋体"/>
          <w:color w:val="1F3D50"/>
          <w:sz w:val="21"/>
        </w:rPr>
        <w:t>m/s</w:t>
      </w:r>
      <w:r>
        <w:rPr>
          <w:rFonts w:ascii="宋体" w:hAnsi="宋体" w:cs="宋体" w:eastAsia="宋体"/>
          <w:color w:val="000000"/>
          <w:sz w:val="22"/>
        </w:rPr>
        <w:t>。轮廓由实际保存场提取，不表示接触角已达到平衡。</w:t>
      </w:r>
    </w:p>
    <w:p>
      <w:pPr>
        <w:keepLines w:val="0"/>
        <w:widowControl/>
        <w:spacing w:line="336" w:lineRule="auto" w:after="120"/>
        <w:ind w:firstLine="420"/>
      </w:pPr>
      <w:r>
        <w:rPr>
          <w:rFonts w:ascii="宋体" w:hAnsi="宋体" w:cs="宋体" w:eastAsia="宋体"/>
          <w:color w:val="000000"/>
          <w:sz w:val="22"/>
        </w:rPr>
        <w:t>研究练习首先在独立目录中将近壁径向和轴向网格加密，比较初始体积误差与壁面界面位置；随后固定网格，将</w:t>
      </w:r>
      <w:r>
        <w:rPr>
          <w:rFonts w:ascii="Consolas" w:hAnsi="Consolas" w:cs="Consolas" w:eastAsia="宋体"/>
          <w:color w:val="1F3D50"/>
          <w:sz w:val="21"/>
        </w:rPr>
        <w:t>maxDeltaT</w:t>
      </w:r>
      <w:r>
        <w:rPr>
          <w:rFonts w:ascii="宋体" w:hAnsi="宋体" w:cs="宋体" w:eastAsia="宋体"/>
          <w:color w:val="000000"/>
          <w:sz w:val="22"/>
        </w:rPr>
        <w:t>减半，比较毛细振荡、液相速度和气体体积。分区润湿计算还应改变分区半径，检查界面是否实际到达该区域。尚未到达的边界设置不能用于解释当前结果的差异。</w:t>
      </w:r>
    </w:p>
    <w:p>
      <w:pPr>
        <w:pStyle w:val="Heading1"/>
        <w:keepNext/>
        <w:spacing w:before="260" w:after="120"/>
      </w:pPr>
      <w:r>
        <w:rPr>
          <w:rFonts w:ascii="黑体" w:hAnsi="黑体" w:cs="黑体" w:eastAsia="黑体"/>
          <w:color w:val="000000"/>
          <w:sz w:val="28"/>
        </w:rPr>
        <w:t>15 计算结果与数据来源</w:t>
      </w:r>
    </w:p>
    <w:p>
      <w:pPr>
        <w:keepLines w:val="0"/>
        <w:widowControl/>
        <w:spacing w:line="336" w:lineRule="auto" w:after="120"/>
        <w:ind w:firstLine="420"/>
      </w:pPr>
      <w:r>
        <w:rPr>
          <w:rFonts w:ascii="宋体" w:hAnsi="宋体" w:cs="宋体" w:eastAsia="宋体"/>
          <w:color w:val="000000"/>
          <w:sz w:val="22"/>
        </w:rPr>
        <w:t>下列图表由本讲独立算例的实际保存场、采样数据或原始日志生成。各图的计算条件与误差定义见前述案例分析，原始数值保存在本讲测试结果。</w:t>
      </w:r>
    </w:p>
    <w:p>
      <w:pPr>
        <w:keepNext/>
        <w:spacing w:before="120" w:after="120"/>
        <w:jc w:val="center"/>
      </w:pPr>
      <w:r>
        <w:drawing>
          <wp:inline xmlns:a="http://schemas.openxmlformats.org/drawingml/2006/main" xmlns:pic="http://schemas.openxmlformats.org/drawingml/2006/picture">
            <wp:extent cx="2897044" cy="3474720"/>
            <wp:docPr id="8" name="Picture 8"/>
            <wp:cNvGraphicFramePr>
              <a:graphicFrameLocks noChangeAspect="1"/>
            </wp:cNvGraphicFramePr>
            <a:graphic>
              <a:graphicData uri="http://schemas.openxmlformats.org/drawingml/2006/picture">
                <pic:pic>
                  <pic:nvPicPr>
                    <pic:cNvPr id="0" name="研究案例_iso_growth_uniform90_interface.png"/>
                    <pic:cNvPicPr/>
                  </pic:nvPicPr>
                  <pic:blipFill>
                    <a:blip r:embed="rId16"/>
                    <a:stretch>
                      <a:fillRect/>
                    </a:stretch>
                  </pic:blipFill>
                  <pic:spPr>
                    <a:xfrm>
                      <a:off x="0" y="0"/>
                      <a:ext cx="2897044" cy="347472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内环 θ0=90°；外环 θ0=90°；</w:t>
      </w:r>
      <w:r>
        <w:rPr>
          <w:rFonts w:ascii="Consolas" w:hAnsi="Consolas" w:cs="Consolas" w:eastAsia="宋体"/>
          <w:color w:val="1F3D50"/>
          <w:sz w:val="21"/>
        </w:rPr>
        <w:t>Uin</w:t>
      </w:r>
      <w:r>
        <w:rPr>
          <w:rFonts w:ascii="宋体" w:hAnsi="宋体" w:cs="宋体" w:eastAsia="宋体"/>
          <w:color w:val="000000"/>
          <w:sz w:val="22"/>
        </w:rPr>
        <w:t xml:space="preserve">=0.025 </w:t>
      </w:r>
      <w:r>
        <w:rPr>
          <w:rFonts w:ascii="Consolas" w:hAnsi="Consolas" w:cs="Consolas" w:eastAsia="宋体"/>
          <w:color w:val="1F3D50"/>
          <w:sz w:val="21"/>
        </w:rPr>
        <w:t>m/s</w:t>
      </w:r>
      <w:r>
        <w:rPr>
          <w:rFonts w:ascii="宋体" w:hAnsi="宋体" w:cs="宋体" w:eastAsia="宋体"/>
          <w:color w:val="000000"/>
          <w:sz w:val="22"/>
        </w:rPr>
        <w:t>。轮廓由实际保存场提取，不表示接触角已达到平衡。</w:t>
      </w:r>
    </w:p>
    <w:p>
      <w:pPr>
        <w:keepNext/>
        <w:spacing w:before="120" w:after="120"/>
        <w:jc w:val="center"/>
      </w:pPr>
      <w:r>
        <w:drawing>
          <wp:inline xmlns:a="http://schemas.openxmlformats.org/drawingml/2006/main" xmlns:pic="http://schemas.openxmlformats.org/drawingml/2006/picture">
            <wp:extent cx="2934593" cy="3474720"/>
            <wp:docPr id="9" name="Picture 9"/>
            <wp:cNvGraphicFramePr>
              <a:graphicFrameLocks noChangeAspect="1"/>
            </wp:cNvGraphicFramePr>
            <a:graphic>
              <a:graphicData uri="http://schemas.openxmlformats.org/drawingml/2006/picture">
                <pic:pic>
                  <pic:nvPicPr>
                    <pic:cNvPr id="0" name="研究案例_iso_growth_wettingBands_interface.png"/>
                    <pic:cNvPicPr/>
                  </pic:nvPicPr>
                  <pic:blipFill>
                    <a:blip r:embed="rId17"/>
                    <a:stretch>
                      <a:fillRect/>
                    </a:stretch>
                  </pic:blipFill>
                  <pic:spPr>
                    <a:xfrm>
                      <a:off x="0" y="0"/>
                      <a:ext cx="2934593" cy="347472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内环 θ0=120°；外环 θ0=60°；</w:t>
      </w:r>
      <w:r>
        <w:rPr>
          <w:rFonts w:ascii="Consolas" w:hAnsi="Consolas" w:cs="Consolas" w:eastAsia="宋体"/>
          <w:color w:val="1F3D50"/>
          <w:sz w:val="21"/>
        </w:rPr>
        <w:t>Uin</w:t>
      </w:r>
      <w:r>
        <w:rPr>
          <w:rFonts w:ascii="宋体" w:hAnsi="宋体" w:cs="宋体" w:eastAsia="宋体"/>
          <w:color w:val="000000"/>
          <w:sz w:val="22"/>
        </w:rPr>
        <w:t xml:space="preserve">=0.025 </w:t>
      </w:r>
      <w:r>
        <w:rPr>
          <w:rFonts w:ascii="Consolas" w:hAnsi="Consolas" w:cs="Consolas" w:eastAsia="宋体"/>
          <w:color w:val="1F3D50"/>
          <w:sz w:val="21"/>
        </w:rPr>
        <w:t>m/s</w:t>
      </w:r>
      <w:r>
        <w:rPr>
          <w:rFonts w:ascii="宋体" w:hAnsi="宋体" w:cs="宋体" w:eastAsia="宋体"/>
          <w:color w:val="000000"/>
          <w:sz w:val="22"/>
        </w:rPr>
        <w:t>。轮廓由实际保存场提取，不表示接触角已达到平衡。</w:t>
      </w:r>
    </w:p>
    <w:sectPr w:rsidR="00FC693F" w:rsidRPr="0006063C" w:rsidSect="00034616">
      <w:footerReference w:type="default" r:id="rId18"/>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第26讲 电极气泡：产气与生长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第26讲 电极气泡：产气与生长</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