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第21讲 标量扩散与通量边界</w:t>
      </w:r>
    </w:p>
    <w:p>
      <w:pPr>
        <w:spacing w:after="160"/>
      </w:pPr>
      <w:r>
        <w:rPr>
          <w:rFonts w:ascii="宋体" w:hAnsi="宋体" w:cs="宋体" w:eastAsia="宋体"/>
          <w:color w:val="000000"/>
          <w:sz w:val="22"/>
        </w:rPr>
        <w:t>配套算例位于原课程“21_标量扩散与通量边界”目录。文中相对路径以该讲目录或已注明的算例目录为准。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pStyle w:val="Heading1"/>
        <w:keepNext/>
        <w:spacing w:before="260" w:after="120"/>
      </w:pPr>
      <w:r>
        <w:rPr>
          <w:rFonts w:ascii="黑体" w:hAnsi="黑体" w:cs="黑体" w:eastAsia="黑体"/>
          <w:color w:val="000000"/>
          <w:sz w:val="28"/>
        </w:rPr>
        <w:t>1 给定通量的一维扩散问题</w:t>
      </w:r>
    </w:p>
    <w:p>
      <w:pPr>
        <w:keepLines w:val="0"/>
        <w:widowControl/>
        <w:spacing w:line="336" w:lineRule="auto" w:after="120"/>
        <w:ind w:firstLine="420"/>
      </w:pPr>
      <w:r>
        <w:rPr>
          <w:rFonts w:ascii="宋体" w:hAnsi="宋体" w:cs="宋体" w:eastAsia="宋体"/>
          <w:color w:val="000000"/>
          <w:sz w:val="22"/>
        </w:rPr>
        <w:t>本讲研究静止介质中的恒通量扩散：初始浓度为零，底面输入恒定摩尔通量，D 为常数，无对流和体源。通过该模型分别检验边界符号、剖面、时间离散及总量收支。</w:t>
      </w:r>
    </w:p>
    <w:p>
      <w:pPr>
        <w:keepLines w:val="0"/>
        <w:widowControl/>
        <w:spacing w:line="336" w:lineRule="auto" w:after="120"/>
        <w:ind w:firstLine="420"/>
      </w:pPr>
      <w:r>
        <w:rPr>
          <w:rFonts w:ascii="宋体" w:hAnsi="宋体" w:cs="宋体" w:eastAsia="宋体"/>
          <w:color w:val="000000"/>
          <w:sz w:val="22"/>
        </w:rPr>
        <w:t xml:space="preserve">一维扩散满足 ∂c/∂t=D∂²c/∂y²。c 的单位为 </w:t>
      </w:r>
      <w:r>
        <w:rPr>
          <w:rFonts w:ascii="Consolas" w:hAnsi="Consolas" w:cs="Consolas" w:eastAsia="宋体"/>
          <w:color w:val="1F3D50"/>
          <w:sz w:val="21"/>
        </w:rPr>
        <w:t>mol/m</w:t>
      </w:r>
      <w:r>
        <w:rPr>
          <w:rFonts w:ascii="宋体" w:hAnsi="宋体" w:cs="宋体" w:eastAsia="宋体"/>
          <w:color w:val="000000"/>
          <w:sz w:val="22"/>
        </w:rPr>
        <w:t xml:space="preserve">³，D 为 m²/s，方程各项单位为 </w:t>
      </w:r>
      <w:r>
        <w:rPr>
          <w:rFonts w:ascii="Consolas" w:hAnsi="Consolas" w:cs="Consolas" w:eastAsia="宋体"/>
          <w:color w:val="1F3D50"/>
          <w:sz w:val="21"/>
        </w:rPr>
        <w:t>mol/(m³·s)</w:t>
      </w:r>
      <w:r>
        <w:rPr>
          <w:rFonts w:ascii="宋体" w:hAnsi="宋体" w:cs="宋体" w:eastAsia="宋体"/>
          <w:color w:val="000000"/>
          <w:sz w:val="22"/>
        </w:rPr>
        <w:t>。</w:t>
      </w:r>
      <w:r>
        <w:rPr>
          <w:rFonts w:ascii="Consolas" w:hAnsi="Consolas" w:cs="Consolas" w:eastAsia="宋体"/>
          <w:color w:val="1F3D50"/>
          <w:sz w:val="21"/>
        </w:rPr>
        <w:t>laplacianFoam</w:t>
      </w:r>
      <w:r>
        <w:rPr>
          <w:rFonts w:ascii="宋体" w:hAnsi="宋体" w:cs="宋体" w:eastAsia="宋体"/>
          <w:color w:val="000000"/>
          <w:sz w:val="22"/>
        </w:rPr>
        <w:t xml:space="preserve"> 读取 T 场，本例通过 </w:t>
      </w:r>
      <w:r>
        <w:rPr>
          <w:rFonts w:ascii="Consolas" w:hAnsi="Consolas" w:cs="Consolas" w:eastAsia="宋体"/>
          <w:color w:val="1F3D50"/>
          <w:sz w:val="21"/>
        </w:rPr>
        <w:t>dimensions</w:t>
      </w:r>
      <w:r>
        <w:rPr>
          <w:rFonts w:ascii="宋体" w:hAnsi="宋体" w:cs="宋体" w:eastAsia="宋体"/>
          <w:color w:val="000000"/>
          <w:sz w:val="22"/>
        </w:rPr>
        <w:t xml:space="preserve"> 将其定义为浓度，故字段名、量纲和后处理色标需分别核对。</w:t>
      </w:r>
    </w:p>
    <w:p>
      <w:pPr>
        <w:keepLines w:val="0"/>
        <w:widowControl/>
        <w:spacing w:line="336" w:lineRule="auto" w:after="120"/>
        <w:ind w:firstLine="420"/>
      </w:pPr>
      <w:r>
        <w:rPr>
          <w:rFonts w:ascii="Consolas" w:hAnsi="Consolas" w:cs="Consolas" w:eastAsia="宋体"/>
          <w:color w:val="1F3D50"/>
          <w:sz w:val="21"/>
        </w:rPr>
        <w:t>constant_flux_1D</w:t>
      </w:r>
      <w:r>
        <w:rPr>
          <w:rFonts w:ascii="宋体" w:hAnsi="宋体" w:cs="宋体" w:eastAsia="宋体"/>
          <w:color w:val="000000"/>
          <w:sz w:val="22"/>
        </w:rPr>
        <w:t xml:space="preserve"> 高 0.001 m，横向和厚度均为 1×10⁻⁵ m。网格为 1×160×1，y 方向单元高 6.25×10⁻⁶ m。左右边界零梯度、前后边界 </w:t>
      </w:r>
      <w:r>
        <w:rPr>
          <w:rFonts w:ascii="Consolas" w:hAnsi="Consolas" w:cs="Consolas" w:eastAsia="宋体"/>
          <w:color w:val="1F3D50"/>
          <w:sz w:val="21"/>
        </w:rPr>
        <w:t>empty</w:t>
      </w:r>
      <w:r>
        <w:rPr>
          <w:rFonts w:ascii="宋体" w:hAnsi="宋体" w:cs="宋体" w:eastAsia="宋体"/>
          <w:color w:val="000000"/>
          <w:sz w:val="22"/>
        </w:rPr>
        <w:t>，使浓度仅沿 y 变化。Δt=0.005 s，计算至 1 s，约 200 步。</w:t>
      </w:r>
    </w:p>
    <w:p>
      <w:pPr>
        <w:pStyle w:val="Heading1"/>
        <w:keepNext/>
        <w:spacing w:before="260" w:after="120"/>
      </w:pPr>
      <w:r>
        <w:rPr>
          <w:rFonts w:ascii="黑体" w:hAnsi="黑体" w:cs="黑体" w:eastAsia="黑体"/>
          <w:color w:val="000000"/>
          <w:sz w:val="28"/>
        </w:rPr>
        <w:t>2 Fick 定律与通量符号</w:t>
      </w:r>
    </w:p>
    <w:p>
      <w:pPr>
        <w:keepLines w:val="0"/>
        <w:widowControl/>
        <w:spacing w:line="336" w:lineRule="auto" w:after="120"/>
        <w:ind w:firstLine="420"/>
      </w:pPr>
      <w:r>
        <w:rPr>
          <w:rFonts w:ascii="Consolas" w:hAnsi="Consolas" w:cs="Consolas" w:eastAsia="宋体"/>
          <w:color w:val="1F3D50"/>
          <w:sz w:val="21"/>
        </w:rPr>
        <w:t>Fick</w:t>
      </w:r>
      <w:r>
        <w:rPr>
          <w:rFonts w:ascii="宋体" w:hAnsi="宋体" w:cs="宋体" w:eastAsia="宋体"/>
          <w:color w:val="000000"/>
          <w:sz w:val="22"/>
        </w:rPr>
        <w:t xml:space="preserve"> 定律 J=−D∇c 表示沿浓度降低方向的摩尔通量。</w:t>
      </w:r>
      <w:r>
        <w:rPr>
          <w:rFonts w:ascii="Consolas" w:hAnsi="Consolas" w:cs="Consolas" w:eastAsia="宋体"/>
          <w:color w:val="1F3D50"/>
          <w:sz w:val="21"/>
        </w:rPr>
        <w:t>fixedGradient</w:t>
      </w:r>
      <w:r>
        <w:rPr>
          <w:rFonts w:ascii="宋体" w:hAnsi="宋体" w:cs="宋体" w:eastAsia="宋体"/>
          <w:color w:val="000000"/>
          <w:sz w:val="22"/>
        </w:rPr>
        <w:t xml:space="preserve"> 给定域外法向导数，因此 J·n=−D∂c/∂n。先确定该关系，再依据具体边界方向赋值。</w:t>
      </w:r>
    </w:p>
    <w:p>
      <w:pPr>
        <w:keepLines w:val="0"/>
        <w:widowControl/>
        <w:spacing w:line="336" w:lineRule="auto" w:after="120"/>
        <w:ind w:firstLine="420"/>
      </w:pPr>
      <w:r>
        <w:rPr>
          <w:rFonts w:ascii="宋体" w:hAnsi="宋体" w:cs="宋体" w:eastAsia="宋体"/>
          <w:color w:val="000000"/>
          <w:sz w:val="22"/>
        </w:rPr>
        <w:t>底面位于 y=0，外法向为负 y。向内通量 N&gt;0 对应 J·n=−N，故 ∂c/∂n=</w:t>
      </w:r>
      <w:r>
        <w:rPr>
          <w:rFonts w:ascii="Consolas" w:hAnsi="Consolas" w:cs="Consolas" w:eastAsia="宋体"/>
          <w:color w:val="1F3D50"/>
          <w:sz w:val="21"/>
        </w:rPr>
        <w:t>N/D</w:t>
      </w:r>
      <w:r>
        <w:rPr>
          <w:rFonts w:ascii="宋体" w:hAnsi="宋体" w:cs="宋体" w:eastAsia="宋体"/>
          <w:color w:val="000000"/>
          <w:sz w:val="22"/>
        </w:rPr>
        <w:t xml:space="preserve">&gt;0。底面 </w:t>
      </w:r>
      <w:r>
        <w:rPr>
          <w:rFonts w:ascii="Consolas" w:hAnsi="Consolas" w:cs="Consolas" w:eastAsia="宋体"/>
          <w:color w:val="1F3D50"/>
          <w:sz w:val="21"/>
        </w:rPr>
        <w:t>gradient</w:t>
      </w:r>
      <w:r>
        <w:rPr>
          <w:rFonts w:ascii="宋体" w:hAnsi="宋体" w:cs="宋体" w:eastAsia="宋体"/>
          <w:color w:val="000000"/>
          <w:sz w:val="22"/>
        </w:rPr>
        <w:t xml:space="preserve"> 取正值，而沿正 y 的浓度梯度为负，两者分别按外法向和坐标正向定义。</w:t>
      </w:r>
    </w:p>
    <w:p>
      <w:pPr>
        <w:keepLines w:val="0"/>
        <w:widowControl/>
        <w:spacing w:line="336" w:lineRule="auto" w:after="120"/>
        <w:ind w:firstLine="420"/>
      </w:pPr>
      <w:r>
        <w:rPr>
          <w:rFonts w:ascii="宋体" w:hAnsi="宋体" w:cs="宋体" w:eastAsia="宋体"/>
          <w:color w:val="000000"/>
          <w:sz w:val="22"/>
        </w:rPr>
        <w:t>D=4.5×10⁻⁹ m²/s、</w:t>
      </w:r>
      <w:r>
        <w:rPr>
          <w:rFonts w:ascii="Consolas" w:hAnsi="Consolas" w:cs="Consolas" w:eastAsia="宋体"/>
          <w:color w:val="1F3D50"/>
          <w:sz w:val="21"/>
        </w:rPr>
        <w:t>gradient</w:t>
      </w:r>
      <w:r>
        <w:rPr>
          <w:rFonts w:ascii="宋体" w:hAnsi="宋体" w:cs="宋体" w:eastAsia="宋体"/>
          <w:color w:val="000000"/>
          <w:sz w:val="22"/>
        </w:rPr>
        <w:t xml:space="preserve">=115158.551740197 </w:t>
      </w:r>
      <w:r>
        <w:rPr>
          <w:rFonts w:ascii="Consolas" w:hAnsi="Consolas" w:cs="Consolas" w:eastAsia="宋体"/>
          <w:color w:val="1F3D50"/>
          <w:sz w:val="21"/>
        </w:rPr>
        <w:t>mol/m</w:t>
      </w:r>
      <w:r>
        <w:rPr>
          <w:rFonts w:ascii="宋体" w:hAnsi="宋体" w:cs="宋体" w:eastAsia="宋体"/>
          <w:color w:val="000000"/>
          <w:sz w:val="22"/>
        </w:rPr>
        <w:t xml:space="preserve">⁴，对应向内通量约 5.18213×10⁻⁴ </w:t>
      </w:r>
      <w:r>
        <w:rPr>
          <w:rFonts w:ascii="Consolas" w:hAnsi="Consolas" w:cs="Consolas" w:eastAsia="宋体"/>
          <w:color w:val="1F3D50"/>
          <w:sz w:val="21"/>
        </w:rPr>
        <w:t>mol/(m²·s)</w:t>
      </w:r>
      <w:r>
        <w:rPr>
          <w:rFonts w:ascii="宋体" w:hAnsi="宋体" w:cs="宋体" w:eastAsia="宋体"/>
          <w:color w:val="000000"/>
          <w:sz w:val="22"/>
        </w:rPr>
        <w:t xml:space="preserve">。固定通量时，D 减半需使 </w:t>
      </w:r>
      <w:r>
        <w:rPr>
          <w:rFonts w:ascii="Consolas" w:hAnsi="Consolas" w:cs="Consolas" w:eastAsia="宋体"/>
          <w:color w:val="1F3D50"/>
          <w:sz w:val="21"/>
        </w:rPr>
        <w:t>gradient</w:t>
      </w:r>
      <w:r>
        <w:rPr>
          <w:rFonts w:ascii="宋体" w:hAnsi="宋体" w:cs="宋体" w:eastAsia="宋体"/>
          <w:color w:val="000000"/>
          <w:sz w:val="22"/>
        </w:rPr>
        <w:t xml:space="preserve"> 加倍；仅修改 D 则会同时改变输入通量。参数对照应明确固定的是通量还是梯度。</w:t>
      </w:r>
    </w:p>
    <w:p>
      <w:pPr>
        <w:keepNext/>
        <w:spacing w:line="252" w:lineRule="auto" w:after="20" w:before="0"/>
        <w:ind w:left="227" w:right="160" w:firstLine="0"/>
        <w:keepLines/>
        <w:shd w:fill="F4F6F7"/>
      </w:pPr>
      <w:r>
        <w:rPr>
          <w:rFonts w:ascii="Consolas" w:hAnsi="Consolas" w:eastAsia="宋体" w:cs="Consolas"/>
          <w:b w:val="0"/>
          <w:color w:val="183C52"/>
          <w:sz w:val="19"/>
        </w:rPr>
        <w:t>bottom</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type fixedGradient;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gradient uniform 115158.551740197;</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Consolas" w:hAnsi="Consolas" w:cs="Consolas" w:eastAsia="宋体"/>
          <w:color w:val="1F3D50"/>
          <w:sz w:val="21"/>
        </w:rPr>
        <w:t>uniform</w:t>
      </w:r>
      <w:r>
        <w:rPr>
          <w:rFonts w:ascii="宋体" w:hAnsi="宋体" w:cs="宋体" w:eastAsia="宋体"/>
          <w:color w:val="000000"/>
          <w:sz w:val="22"/>
        </w:rPr>
        <w:t xml:space="preserve"> 表示各边界面采用相同梯度，其单位由浓度除以长度确定，不能直接用通量数值替代。顶面设置 </w:t>
      </w:r>
      <w:r>
        <w:rPr>
          <w:rFonts w:ascii="Consolas" w:hAnsi="Consolas" w:cs="Consolas" w:eastAsia="宋体"/>
          <w:color w:val="1F3D50"/>
          <w:sz w:val="21"/>
        </w:rPr>
        <w:t>fixedValue</w:t>
      </w:r>
      <w:r>
        <w:rPr>
          <w:rFonts w:ascii="宋体" w:hAnsi="宋体" w:cs="宋体" w:eastAsia="宋体"/>
          <w:color w:val="000000"/>
          <w:sz w:val="22"/>
        </w:rPr>
        <w:t>=0，以维持远端初始浓度；结果分析应检查扩散是否已显著影响该边界。</w:t>
      </w:r>
    </w:p>
    <w:p>
      <w:pPr>
        <w:pStyle w:val="Heading1"/>
        <w:keepNext/>
        <w:spacing w:before="260" w:after="120"/>
      </w:pPr>
      <w:r>
        <w:rPr>
          <w:rFonts w:ascii="黑体" w:hAnsi="黑体" w:cs="黑体" w:eastAsia="黑体"/>
          <w:color w:val="000000"/>
          <w:sz w:val="28"/>
        </w:rPr>
        <w:t>3 半无限域解析解及尺度判断</w:t>
      </w:r>
    </w:p>
    <w:p>
      <w:pPr>
        <w:keepLines w:val="0"/>
        <w:widowControl/>
        <w:spacing w:line="336" w:lineRule="auto" w:after="120"/>
        <w:ind w:firstLine="420"/>
      </w:pPr>
      <w:r>
        <w:rPr>
          <w:rFonts w:ascii="宋体" w:hAnsi="宋体" w:cs="宋体" w:eastAsia="宋体"/>
          <w:color w:val="000000"/>
          <w:sz w:val="22"/>
        </w:rPr>
        <w:t>初始 c=0、正 y 方向半无限、底面输入恒通量时，解析浓度为：</w:t>
      </w:r>
    </w:p>
    <w:p>
      <w:pPr>
        <w:keepLines w:val="0"/>
        <w:widowControl/>
        <w:spacing w:line="336" w:lineRule="auto" w:after="120"/>
        <w:ind w:firstLine="420"/>
      </w:pPr>
      <w:r>
        <w:rPr>
          <w:rFonts w:ascii="宋体" w:hAnsi="宋体" w:cs="宋体" w:eastAsia="宋体"/>
          <w:color w:val="000000"/>
          <w:sz w:val="22"/>
        </w:rPr>
        <w:t>c(y,t)=2N√[t/(πD)]</w:t>
      </w:r>
      <w:r>
        <w:rPr>
          <w:rFonts w:ascii="Consolas" w:hAnsi="Consolas" w:cs="Consolas" w:eastAsia="宋体"/>
          <w:color w:val="1F3D50"/>
          <w:sz w:val="21"/>
        </w:rPr>
        <w:t>exp</w:t>
      </w:r>
      <w:r>
        <w:rPr>
          <w:rFonts w:ascii="宋体" w:hAnsi="宋体" w:cs="宋体" w:eastAsia="宋体"/>
          <w:color w:val="000000"/>
          <w:sz w:val="22"/>
        </w:rPr>
        <w:t>[−y²/(4Dt)]−(</w:t>
      </w:r>
      <w:r>
        <w:rPr>
          <w:rFonts w:ascii="Consolas" w:hAnsi="Consolas" w:cs="Consolas" w:eastAsia="宋体"/>
          <w:color w:val="1F3D50"/>
          <w:sz w:val="21"/>
        </w:rPr>
        <w:t>Ny/D</w:t>
      </w:r>
      <w:r>
        <w:rPr>
          <w:rFonts w:ascii="宋体" w:hAnsi="宋体" w:cs="宋体" w:eastAsia="宋体"/>
          <w:color w:val="000000"/>
          <w:sz w:val="22"/>
        </w:rPr>
        <w:t>)</w:t>
      </w:r>
      <w:r>
        <w:rPr>
          <w:rFonts w:ascii="Consolas" w:hAnsi="Consolas" w:cs="Consolas" w:eastAsia="宋体"/>
          <w:color w:val="1F3D50"/>
          <w:sz w:val="21"/>
        </w:rPr>
        <w:t>erfc</w:t>
      </w:r>
      <w:r>
        <w:rPr>
          <w:rFonts w:ascii="宋体" w:hAnsi="宋体" w:cs="宋体" w:eastAsia="宋体"/>
          <w:color w:val="000000"/>
          <w:sz w:val="22"/>
        </w:rPr>
        <w:t>[y/(2√Dt)]。</w:t>
      </w:r>
    </w:p>
    <w:p>
      <w:pPr>
        <w:keepLines w:val="0"/>
        <w:widowControl/>
        <w:spacing w:line="336" w:lineRule="auto" w:after="120"/>
        <w:ind w:firstLine="420"/>
      </w:pPr>
      <w:r>
        <w:rPr>
          <w:rFonts w:ascii="宋体" w:hAnsi="宋体" w:cs="宋体" w:eastAsia="宋体"/>
          <w:color w:val="000000"/>
          <w:sz w:val="22"/>
        </w:rPr>
        <w:t xml:space="preserve">式中 </w:t>
      </w:r>
      <w:r>
        <w:rPr>
          <w:rFonts w:ascii="Consolas" w:hAnsi="Consolas" w:cs="Consolas" w:eastAsia="宋体"/>
          <w:color w:val="1F3D50"/>
          <w:sz w:val="21"/>
        </w:rPr>
        <w:t>erfc</w:t>
      </w:r>
      <w:r>
        <w:rPr>
          <w:rFonts w:ascii="宋体" w:hAnsi="宋体" w:cs="宋体" w:eastAsia="宋体"/>
          <w:color w:val="000000"/>
          <w:sz w:val="22"/>
        </w:rPr>
        <w:t xml:space="preserve"> 为互补误差函数。第一项给出随时间增长的高斯型贡献，第二项保证底部导数满足给定通量。令 y=0，可得壁面浓度 </w:t>
      </w:r>
      <w:r>
        <w:rPr>
          <w:rFonts w:ascii="Consolas" w:hAnsi="Consolas" w:cs="Consolas" w:eastAsia="宋体"/>
          <w:color w:val="1F3D50"/>
          <w:sz w:val="21"/>
        </w:rPr>
        <w:t>cwall</w:t>
      </w:r>
      <w:r>
        <w:rPr>
          <w:rFonts w:ascii="宋体" w:hAnsi="宋体" w:cs="宋体" w:eastAsia="宋体"/>
          <w:color w:val="000000"/>
          <w:sz w:val="22"/>
        </w:rPr>
        <w:t>=2N√[t/(πD)]，即壁面浓度随时间平方根增加。固定时刻增大 D 会降低壁面浓度，同时使标量扩散至更深区域。</w:t>
      </w:r>
    </w:p>
    <w:p>
      <w:pPr>
        <w:keepLines w:val="0"/>
        <w:widowControl/>
        <w:spacing w:line="336" w:lineRule="auto" w:after="120"/>
        <w:ind w:firstLine="420"/>
      </w:pPr>
      <w:r>
        <w:rPr>
          <w:rFonts w:ascii="宋体" w:hAnsi="宋体" w:cs="宋体" w:eastAsia="宋体"/>
          <w:color w:val="000000"/>
          <w:sz w:val="22"/>
        </w:rPr>
        <w:t>从指数项中的 y²/(Dt) 可得到扩散长度尺度 δ≈√Dt。本例 t=1 s 时 δ 约为 67.1 μm，而计算域高度为 1000 μm，远端距离约为该尺度的十五倍。因此，在本时段将有限域结果与半无限域解比较具有依据。扩散尺度只用于初步判断，仍应查看远端浓度和梯度是否接近初始条件。</w:t>
      </w:r>
    </w:p>
    <w:p>
      <w:pPr>
        <w:keepLines w:val="0"/>
        <w:widowControl/>
        <w:spacing w:line="336" w:lineRule="auto" w:after="120"/>
        <w:ind w:firstLine="420"/>
      </w:pPr>
      <w:r>
        <w:rPr>
          <w:rFonts w:ascii="宋体" w:hAnsi="宋体" w:cs="宋体" w:eastAsia="宋体"/>
          <w:color w:val="000000"/>
          <w:sz w:val="22"/>
        </w:rPr>
        <w:t>改变计算时间后应重新判断近似条件。时间增加到原来的四倍，扩散尺度增加到两倍；若继续延长，固定浓度顶面对剖面和总量的影响会逐渐显现。此时有限域计算仍可正确，但半无限域解析解不再适合作为同一精度标准，应采用有限域解或显式计入顶面流出通量。</w:t>
      </w:r>
    </w:p>
    <w:p>
      <w:pPr>
        <w:pStyle w:val="Heading1"/>
        <w:keepNext/>
        <w:spacing w:before="260" w:after="120"/>
      </w:pPr>
      <w:r>
        <w:rPr>
          <w:rFonts w:ascii="黑体" w:hAnsi="黑体" w:cs="黑体" w:eastAsia="黑体"/>
          <w:color w:val="000000"/>
          <w:sz w:val="28"/>
        </w:rPr>
        <w:t>4 有限体积离散与求解设置</w:t>
      </w:r>
    </w:p>
    <w:p>
      <w:pPr>
        <w:keepLines w:val="0"/>
        <w:widowControl/>
        <w:spacing w:line="336" w:lineRule="auto" w:after="120"/>
        <w:ind w:firstLine="420"/>
      </w:pPr>
      <w:r>
        <w:rPr>
          <w:rFonts w:ascii="宋体" w:hAnsi="宋体" w:cs="宋体" w:eastAsia="宋体"/>
          <w:color w:val="000000"/>
          <w:sz w:val="22"/>
        </w:rPr>
        <w:t>控制体积分表明，浓度库存变化等于各面的净扩散输入。均匀正交网格以中心浓度差近似面梯度，共享面通量在相邻方程中符号相反。全域求和后内部项抵消，仅外边界决定总量变化。</w:t>
      </w:r>
    </w:p>
    <w:p>
      <w:pPr>
        <w:keepLines w:val="0"/>
        <w:widowControl/>
        <w:spacing w:line="336" w:lineRule="auto" w:after="120"/>
        <w:ind w:firstLine="420"/>
      </w:pPr>
      <w:r>
        <w:rPr>
          <w:rFonts w:ascii="宋体" w:hAnsi="宋体" w:cs="宋体" w:eastAsia="宋体"/>
          <w:color w:val="000000"/>
          <w:sz w:val="22"/>
        </w:rPr>
        <w:t xml:space="preserve">本例 </w:t>
      </w:r>
      <w:r>
        <w:rPr>
          <w:rFonts w:ascii="Consolas" w:hAnsi="Consolas" w:cs="Consolas" w:eastAsia="宋体"/>
          <w:color w:val="1F3D50"/>
          <w:sz w:val="21"/>
        </w:rPr>
        <w:t>fvSchemes</w:t>
      </w:r>
      <w:r>
        <w:rPr>
          <w:rFonts w:ascii="宋体" w:hAnsi="宋体" w:cs="宋体" w:eastAsia="宋体"/>
          <w:color w:val="000000"/>
          <w:sz w:val="22"/>
        </w:rPr>
        <w:t xml:space="preserve"> 采用 </w:t>
      </w:r>
      <w:r>
        <w:rPr>
          <w:rFonts w:ascii="Consolas" w:hAnsi="Consolas" w:cs="Consolas" w:eastAsia="宋体"/>
          <w:color w:val="1F3D50"/>
          <w:sz w:val="21"/>
        </w:rPr>
        <w:t>Euler</w:t>
      </w:r>
      <w:r>
        <w:rPr>
          <w:rFonts w:ascii="宋体" w:hAnsi="宋体" w:cs="宋体" w:eastAsia="宋体"/>
          <w:color w:val="000000"/>
          <w:sz w:val="22"/>
        </w:rPr>
        <w:t xml:space="preserve"> 时间格式与 </w:t>
      </w:r>
      <w:r>
        <w:rPr>
          <w:rFonts w:ascii="Consolas" w:hAnsi="Consolas" w:cs="Consolas" w:eastAsia="宋体"/>
          <w:color w:val="1F3D50"/>
          <w:sz w:val="21"/>
        </w:rPr>
        <w:t>Gauss</w:t>
      </w:r>
      <w:r>
        <w:rPr>
          <w:rFonts w:ascii="宋体" w:hAnsi="宋体" w:cs="宋体" w:eastAsia="宋体"/>
          <w:color w:val="000000"/>
          <w:sz w:val="22"/>
        </w:rPr>
        <w:t xml:space="preserve"> </w:t>
      </w:r>
      <w:r>
        <w:rPr>
          <w:rFonts w:ascii="Consolas" w:hAnsi="Consolas" w:cs="Consolas" w:eastAsia="宋体"/>
          <w:color w:val="1F3D50"/>
          <w:sz w:val="21"/>
        </w:rPr>
        <w:t>linear</w:t>
      </w:r>
      <w:r>
        <w:rPr>
          <w:rFonts w:ascii="宋体" w:hAnsi="宋体" w:cs="宋体" w:eastAsia="宋体"/>
          <w:color w:val="000000"/>
          <w:sz w:val="22"/>
        </w:rPr>
        <w:t xml:space="preserve"> </w:t>
      </w:r>
      <w:r>
        <w:rPr>
          <w:rFonts w:ascii="Consolas" w:hAnsi="Consolas" w:cs="Consolas" w:eastAsia="宋体"/>
          <w:color w:val="1F3D50"/>
          <w:sz w:val="21"/>
        </w:rPr>
        <w:t>corrected</w:t>
      </w:r>
      <w:r>
        <w:rPr>
          <w:rFonts w:ascii="宋体" w:hAnsi="宋体" w:cs="宋体" w:eastAsia="宋体"/>
          <w:color w:val="000000"/>
          <w:sz w:val="22"/>
        </w:rPr>
        <w:t xml:space="preserve"> 扩散格式。</w:t>
      </w:r>
      <w:r>
        <w:rPr>
          <w:rFonts w:ascii="Consolas" w:hAnsi="Consolas" w:cs="Consolas" w:eastAsia="宋体"/>
          <w:color w:val="1F3D50"/>
          <w:sz w:val="21"/>
        </w:rPr>
        <w:t>Euler</w:t>
      </w:r>
      <w:r>
        <w:rPr>
          <w:rFonts w:ascii="宋体" w:hAnsi="宋体" w:cs="宋体" w:eastAsia="宋体"/>
          <w:color w:val="000000"/>
          <w:sz w:val="22"/>
        </w:rPr>
        <w:t xml:space="preserve"> 将新时刻浓度作为隐式未知量，适合扩散问题，但时间精度为一阶。减小时间步可降低时间离散误差，网格加密则降低空间误差。两者应分别对照：检查网格时保持足够小的时间步，检查时间步时保持同一网格。</w:t>
      </w:r>
    </w:p>
    <w:p>
      <w:pPr>
        <w:keepLines w:val="0"/>
        <w:widowControl/>
        <w:spacing w:line="336" w:lineRule="auto" w:after="120"/>
        <w:ind w:firstLine="420"/>
      </w:pPr>
      <w:r>
        <w:rPr>
          <w:rFonts w:ascii="宋体" w:hAnsi="宋体" w:cs="宋体" w:eastAsia="宋体"/>
          <w:color w:val="000000"/>
          <w:sz w:val="22"/>
        </w:rPr>
        <w:t xml:space="preserve">字典中保留的 </w:t>
      </w:r>
      <w:r>
        <w:rPr>
          <w:rFonts w:ascii="Consolas" w:hAnsi="Consolas" w:cs="Consolas" w:eastAsia="宋体"/>
          <w:color w:val="1F3D50"/>
          <w:sz w:val="21"/>
        </w:rPr>
        <w:t>div(phi,T)</w:t>
      </w:r>
      <w:r>
        <w:rPr>
          <w:rFonts w:ascii="宋体" w:hAnsi="宋体" w:cs="宋体" w:eastAsia="宋体"/>
          <w:color w:val="000000"/>
          <w:sz w:val="22"/>
        </w:rPr>
        <w:t xml:space="preserve"> 条目只有在求解方程调用相应对流项时才参与计算。当前 </w:t>
      </w:r>
      <w:r>
        <w:rPr>
          <w:rFonts w:ascii="Consolas" w:hAnsi="Consolas" w:cs="Consolas" w:eastAsia="宋体"/>
          <w:color w:val="1F3D50"/>
          <w:sz w:val="21"/>
        </w:rPr>
        <w:t>laplacianFoam</w:t>
      </w:r>
      <w:r>
        <w:rPr>
          <w:rFonts w:ascii="宋体" w:hAnsi="宋体" w:cs="宋体" w:eastAsia="宋体"/>
          <w:color w:val="000000"/>
          <w:sz w:val="22"/>
        </w:rPr>
        <w:t xml:space="preserve"> 求解扩散方程，因此这一条目不代表算例已经包含流体对流。判断一个物理过程是否被计算，应结合主方程与求解器实现，而非只根据字典中出现的名称。</w:t>
      </w:r>
    </w:p>
    <w:p>
      <w:pPr>
        <w:keepNext/>
        <w:spacing w:line="252" w:lineRule="auto" w:after="20" w:before="0"/>
        <w:ind w:left="227" w:right="160" w:firstLine="0"/>
        <w:keepLines/>
        <w:shd w:fill="F4F6F7"/>
      </w:pPr>
      <w:r>
        <w:rPr>
          <w:rFonts w:ascii="Consolas" w:hAnsi="Consolas" w:eastAsia="宋体" w:cs="Consolas"/>
          <w:b w:val="0"/>
          <w:color w:val="183C52"/>
          <w:sz w:val="19"/>
        </w:rPr>
        <w:t>blockMesh &gt; log.blockMesh 2&gt;&amp;1</w:t>
      </w:r>
    </w:p>
    <w:p>
      <w:pPr>
        <w:keepNext/>
        <w:spacing w:line="252" w:lineRule="auto" w:after="20" w:before="0"/>
        <w:ind w:left="227" w:right="160" w:firstLine="0"/>
        <w:keepLines/>
        <w:shd w:fill="F4F6F7"/>
      </w:pPr>
      <w:r>
        <w:rPr>
          <w:rFonts w:ascii="Consolas" w:hAnsi="Consolas" w:eastAsia="宋体" w:cs="Consolas"/>
          <w:b w:val="0"/>
          <w:color w:val="183C52"/>
          <w:sz w:val="19"/>
        </w:rPr>
        <w:t>checkMesh &gt; log.checkMesh 2&gt;&amp;1</w:t>
      </w:r>
    </w:p>
    <w:p>
      <w:pPr>
        <w:keepNext/>
        <w:spacing w:line="252" w:lineRule="auto" w:after="20" w:before="0"/>
        <w:ind w:left="227" w:right="160" w:firstLine="0"/>
        <w:keepLines/>
        <w:shd w:fill="F4F6F7"/>
      </w:pPr>
      <w:r>
        <w:rPr>
          <w:rFonts w:ascii="Consolas" w:hAnsi="Consolas" w:eastAsia="宋体" w:cs="Consolas"/>
          <w:b w:val="0"/>
          <w:color w:val="183C52"/>
          <w:sz w:val="19"/>
        </w:rPr>
        <w:t>laplacianFoam &gt; log.laplacianFoam 2&gt;&amp;1</w:t>
      </w:r>
    </w:p>
    <w:p>
      <w:pPr>
        <w:keepNext w:val="0"/>
        <w:spacing w:line="252" w:lineRule="auto" w:after="20" w:before="0"/>
        <w:ind w:left="227" w:right="160" w:firstLine="0"/>
        <w:keepLines/>
        <w:shd w:fill="F4F6F7"/>
      </w:pPr>
      <w:r>
        <w:rPr>
          <w:rFonts w:ascii="Consolas" w:hAnsi="Consolas" w:eastAsia="宋体" w:cs="Consolas"/>
          <w:b w:val="0"/>
          <w:color w:val="183C52"/>
          <w:sz w:val="19"/>
        </w:rPr>
        <w:t>touch case.foam</w:t>
      </w:r>
    </w:p>
    <w:p>
      <w:pPr>
        <w:spacing w:after="20"/>
      </w:pPr>
    </w:p>
    <w:p>
      <w:pPr>
        <w:keepLines w:val="0"/>
        <w:widowControl/>
        <w:spacing w:line="336" w:lineRule="auto" w:after="120"/>
        <w:ind w:firstLine="420"/>
      </w:pPr>
      <w:r>
        <w:rPr>
          <w:rFonts w:ascii="宋体" w:hAnsi="宋体" w:cs="宋体" w:eastAsia="宋体"/>
          <w:color w:val="000000"/>
          <w:sz w:val="22"/>
        </w:rPr>
        <w:t>运行后先检查网格和求解日志，再打开 1 时间目录中的 T。当前脚本将各命令日志分别保存，能够区分网格生成、网格检查和方程求解三个阶段。输入参数修改后，应在独立副本中重新计算，以保留对应的基准结果。</w:t>
      </w:r>
    </w:p>
    <w:p>
      <w:pPr>
        <w:pStyle w:val="Heading1"/>
        <w:keepNext/>
        <w:spacing w:before="260" w:after="120"/>
      </w:pPr>
      <w:r>
        <w:rPr>
          <w:rFonts w:ascii="黑体" w:hAnsi="黑体" w:cs="黑体" w:eastAsia="黑体"/>
          <w:color w:val="000000"/>
          <w:sz w:val="28"/>
        </w:rPr>
        <w:t>5 壁面浓度与单元中心浓度</w:t>
      </w:r>
    </w:p>
    <w:p>
      <w:pPr>
        <w:keepLines w:val="0"/>
        <w:widowControl/>
        <w:spacing w:line="336" w:lineRule="auto" w:after="120"/>
        <w:ind w:firstLine="420"/>
      </w:pPr>
      <w:r>
        <w:rPr>
          <w:rFonts w:ascii="宋体" w:hAnsi="宋体" w:cs="宋体" w:eastAsia="宋体"/>
          <w:color w:val="000000"/>
          <w:sz w:val="22"/>
        </w:rPr>
        <w:t>本例首层中心 y=3.125×10⁻⁶ m，壁面 y=0。底面输入使壁面浓度高于首层中心。若将最大单元值直接与解析壁面值比较，会混入采样位置差异。</w:t>
      </w:r>
    </w:p>
    <w:p>
      <w:pPr>
        <w:keepLines w:val="0"/>
        <w:widowControl/>
        <w:spacing w:line="336" w:lineRule="auto" w:after="120"/>
        <w:ind w:firstLine="420"/>
      </w:pPr>
      <w:r>
        <w:rPr>
          <w:rFonts w:ascii="宋体" w:hAnsi="宋体" w:cs="宋体" w:eastAsia="宋体"/>
          <w:color w:val="000000"/>
          <w:sz w:val="22"/>
        </w:rPr>
        <w:t>本例底部外法向梯度为 g=</w:t>
      </w:r>
      <w:r>
        <w:rPr>
          <w:rFonts w:ascii="Consolas" w:hAnsi="Consolas" w:cs="Consolas" w:eastAsia="宋体"/>
          <w:color w:val="1F3D50"/>
          <w:sz w:val="21"/>
        </w:rPr>
        <w:t>N/D</w:t>
      </w:r>
      <w:r>
        <w:rPr>
          <w:rFonts w:ascii="宋体" w:hAnsi="宋体" w:cs="宋体" w:eastAsia="宋体"/>
          <w:color w:val="000000"/>
          <w:sz w:val="22"/>
        </w:rPr>
        <w:t xml:space="preserve">，壁面值可按 </w:t>
      </w:r>
      <w:r>
        <w:rPr>
          <w:rFonts w:ascii="Consolas" w:hAnsi="Consolas" w:cs="Consolas" w:eastAsia="宋体"/>
          <w:color w:val="1F3D50"/>
          <w:sz w:val="21"/>
        </w:rPr>
        <w:t>cwall</w:t>
      </w:r>
      <w:r>
        <w:rPr>
          <w:rFonts w:ascii="宋体" w:hAnsi="宋体" w:cs="宋体" w:eastAsia="宋体"/>
          <w:color w:val="000000"/>
          <w:sz w:val="22"/>
        </w:rPr>
        <w:t>≈</w:t>
      </w:r>
      <w:r>
        <w:rPr>
          <w:rFonts w:ascii="Consolas" w:hAnsi="Consolas" w:cs="Consolas" w:eastAsia="宋体"/>
          <w:color w:val="1F3D50"/>
          <w:sz w:val="21"/>
        </w:rPr>
        <w:t>c1+g</w:t>
      </w:r>
      <w:r>
        <w:rPr>
          <w:rFonts w:ascii="宋体" w:hAnsi="宋体" w:cs="宋体" w:eastAsia="宋体"/>
          <w:color w:val="000000"/>
          <w:sz w:val="22"/>
        </w:rPr>
        <w:t>Δ</w:t>
      </w:r>
      <w:r>
        <w:rPr>
          <w:rFonts w:ascii="Consolas" w:hAnsi="Consolas" w:cs="Consolas" w:eastAsia="宋体"/>
          <w:color w:val="1F3D50"/>
          <w:sz w:val="21"/>
        </w:rPr>
        <w:t>y/2</w:t>
      </w:r>
      <w:r>
        <w:rPr>
          <w:rFonts w:ascii="宋体" w:hAnsi="宋体" w:cs="宋体" w:eastAsia="宋体"/>
          <w:color w:val="000000"/>
          <w:sz w:val="22"/>
        </w:rPr>
        <w:t xml:space="preserve"> 外推。测试记录给出的第一层最大浓度约为 8.3562311996 </w:t>
      </w:r>
      <w:r>
        <w:rPr>
          <w:rFonts w:ascii="Consolas" w:hAnsi="Consolas" w:cs="Consolas" w:eastAsia="宋体"/>
          <w:color w:val="1F3D50"/>
          <w:sz w:val="21"/>
        </w:rPr>
        <w:t>mol/m</w:t>
      </w:r>
      <w:r>
        <w:rPr>
          <w:rFonts w:ascii="宋体" w:hAnsi="宋体" w:cs="宋体" w:eastAsia="宋体"/>
          <w:color w:val="000000"/>
          <w:sz w:val="22"/>
        </w:rPr>
        <w:t xml:space="preserve">³，半网格修正约为 0.3598704742 </w:t>
      </w:r>
      <w:r>
        <w:rPr>
          <w:rFonts w:ascii="Consolas" w:hAnsi="Consolas" w:cs="Consolas" w:eastAsia="宋体"/>
          <w:color w:val="1F3D50"/>
          <w:sz w:val="21"/>
        </w:rPr>
        <w:t>mol/m</w:t>
      </w:r>
      <w:r>
        <w:rPr>
          <w:rFonts w:ascii="宋体" w:hAnsi="宋体" w:cs="宋体" w:eastAsia="宋体"/>
          <w:color w:val="000000"/>
          <w:sz w:val="22"/>
        </w:rPr>
        <w:t xml:space="preserve">³，得到壁面浓度 8.7161016738 </w:t>
      </w:r>
      <w:r>
        <w:rPr>
          <w:rFonts w:ascii="Consolas" w:hAnsi="Consolas" w:cs="Consolas" w:eastAsia="宋体"/>
          <w:color w:val="1F3D50"/>
          <w:sz w:val="21"/>
        </w:rPr>
        <w:t>mol/m</w:t>
      </w:r>
      <w:r>
        <w:rPr>
          <w:rFonts w:ascii="宋体" w:hAnsi="宋体" w:cs="宋体" w:eastAsia="宋体"/>
          <w:color w:val="000000"/>
          <w:sz w:val="22"/>
        </w:rPr>
        <w:t>³。</w:t>
      </w:r>
    </w:p>
    <w:p>
      <w:pPr>
        <w:keepLines w:val="0"/>
        <w:widowControl/>
        <w:spacing w:line="336" w:lineRule="auto" w:after="120"/>
        <w:ind w:firstLine="420"/>
      </w:pPr>
      <w:r>
        <w:rPr>
          <w:rFonts w:ascii="宋体" w:hAnsi="宋体" w:cs="宋体" w:eastAsia="宋体"/>
          <w:color w:val="000000"/>
          <w:sz w:val="22"/>
        </w:rPr>
        <w:t xml:space="preserve">解析壁面值为 8.7168086125 </w:t>
      </w:r>
      <w:r>
        <w:rPr>
          <w:rFonts w:ascii="Consolas" w:hAnsi="Consolas" w:cs="Consolas" w:eastAsia="宋体"/>
          <w:color w:val="1F3D50"/>
          <w:sz w:val="21"/>
        </w:rPr>
        <w:t>mol/m</w:t>
      </w:r>
      <w:r>
        <w:rPr>
          <w:rFonts w:ascii="宋体" w:hAnsi="宋体" w:cs="宋体" w:eastAsia="宋体"/>
          <w:color w:val="000000"/>
          <w:sz w:val="22"/>
        </w:rPr>
        <w:t>³，相对误差约 8.11×10⁻⁵，即 0.00811%。</w:t>
      </w:r>
    </w:p>
    <w:p>
      <w:pPr>
        <w:keepLines w:val="0"/>
        <w:widowControl/>
        <w:spacing w:line="336" w:lineRule="auto" w:after="120"/>
        <w:ind w:firstLine="420"/>
      </w:pPr>
      <w:r>
        <w:rPr>
          <w:rFonts w:ascii="宋体" w:hAnsi="宋体" w:cs="宋体" w:eastAsia="宋体"/>
          <w:color w:val="000000"/>
          <w:sz w:val="22"/>
        </w:rPr>
        <w:t xml:space="preserve">整条剖面的比较应在相同坐标上进行。可将解析式代入各单元中心位置，再计算平均绝对误差或最大误差。若采用 </w:t>
      </w:r>
      <w:r>
        <w:rPr>
          <w:rFonts w:ascii="Consolas" w:hAnsi="Consolas" w:cs="Consolas" w:eastAsia="宋体"/>
          <w:color w:val="1F3D50"/>
          <w:sz w:val="21"/>
        </w:rPr>
        <w:t>ParaView</w:t>
      </w:r>
      <w:r>
        <w:rPr>
          <w:rFonts w:ascii="宋体" w:hAnsi="宋体" w:cs="宋体" w:eastAsia="宋体"/>
          <w:color w:val="000000"/>
          <w:sz w:val="22"/>
        </w:rPr>
        <w:t xml:space="preserve"> 沿线采样，应明确插值方式；采样后的平滑曲线与原始单元值并非完全相同。壁面外推误差和剖面误差分别反映边界附近与整个扩散区域的计算精度。</w:t>
      </w:r>
    </w:p>
    <w:p>
      <w:pPr>
        <w:keepNext/>
        <w:spacing w:before="120" w:after="120"/>
        <w:jc w:val="center"/>
      </w:pPr>
      <w:r>
        <w:drawing>
          <wp:inline xmlns:a="http://schemas.openxmlformats.org/drawingml/2006/main" xmlns:pic="http://schemas.openxmlformats.org/drawingml/2006/picture">
            <wp:extent cx="5900467" cy="3474719"/>
            <wp:docPr id="1" name="Picture 1"/>
            <wp:cNvGraphicFramePr>
              <a:graphicFrameLocks noChangeAspect="1"/>
            </wp:cNvGraphicFramePr>
            <a:graphic>
              <a:graphicData uri="http://schemas.openxmlformats.org/drawingml/2006/picture">
                <pic:pic>
                  <pic:nvPicPr>
                    <pic:cNvPr id="0" name="恒通量扩散解析验证.png"/>
                    <pic:cNvPicPr/>
                  </pic:nvPicPr>
                  <pic:blipFill>
                    <a:blip r:embed="rId9"/>
                    <a:stretch>
                      <a:fillRect/>
                    </a:stretch>
                  </pic:blipFill>
                  <pic:spPr>
                    <a:xfrm>
                      <a:off x="0" y="0"/>
                      <a:ext cx="5900467"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图中数值剖面与解析解在扩散层内相互接近。远离底面后，浓度迅速减小；这种分布与扩散长度显著小于域高相一致。壁面附近的比较采用外推值，避免将第一层单元中心误认为边界位置。</w:t>
      </w:r>
    </w:p>
    <w:p>
      <w:pPr>
        <w:pStyle w:val="Heading1"/>
        <w:keepNext/>
        <w:spacing w:before="260" w:after="120"/>
      </w:pPr>
      <w:r>
        <w:rPr>
          <w:rFonts w:ascii="黑体" w:hAnsi="黑体" w:cs="黑体" w:eastAsia="黑体"/>
          <w:color w:val="000000"/>
          <w:sz w:val="28"/>
        </w:rPr>
        <w:t>6 总量守恒及其误差</w:t>
      </w:r>
    </w:p>
    <w:p>
      <w:pPr>
        <w:keepLines w:val="0"/>
        <w:widowControl/>
        <w:spacing w:line="336" w:lineRule="auto" w:after="120"/>
        <w:ind w:firstLine="420"/>
      </w:pPr>
      <w:r>
        <w:rPr>
          <w:rFonts w:ascii="宋体" w:hAnsi="宋体" w:cs="宋体" w:eastAsia="宋体"/>
          <w:color w:val="000000"/>
          <w:sz w:val="22"/>
        </w:rPr>
        <w:t xml:space="preserve">对整个计算域积分控制方程，内部面通量抵消，可得 </w:t>
      </w:r>
      <w:r>
        <w:rPr>
          <w:rFonts w:ascii="Consolas" w:hAnsi="Consolas" w:cs="Consolas" w:eastAsia="宋体"/>
          <w:color w:val="1F3D50"/>
          <w:sz w:val="21"/>
        </w:rPr>
        <w:t>dM/dt</w:t>
      </w:r>
      <w:r>
        <w:rPr>
          <w:rFonts w:ascii="宋体" w:hAnsi="宋体" w:cs="宋体" w:eastAsia="宋体"/>
          <w:color w:val="000000"/>
          <w:sz w:val="22"/>
        </w:rPr>
        <w:t>=NA−</w:t>
      </w:r>
      <w:r>
        <w:rPr>
          <w:rFonts w:ascii="Consolas" w:hAnsi="Consolas" w:cs="Consolas" w:eastAsia="宋体"/>
          <w:color w:val="1F3D50"/>
          <w:sz w:val="21"/>
        </w:rPr>
        <w:t>Nout</w:t>
      </w:r>
      <w:r>
        <w:rPr>
          <w:rFonts w:ascii="宋体" w:hAnsi="宋体" w:cs="宋体" w:eastAsia="宋体"/>
          <w:color w:val="000000"/>
          <w:sz w:val="22"/>
        </w:rPr>
        <w:t>，其中 M=∫c dV，A 为底部通量面积，</w:t>
      </w:r>
      <w:r>
        <w:rPr>
          <w:rFonts w:ascii="Consolas" w:hAnsi="Consolas" w:cs="Consolas" w:eastAsia="宋体"/>
          <w:color w:val="1F3D50"/>
          <w:sz w:val="21"/>
        </w:rPr>
        <w:t>Nout</w:t>
      </w:r>
      <w:r>
        <w:rPr>
          <w:rFonts w:ascii="宋体" w:hAnsi="宋体" w:cs="宋体" w:eastAsia="宋体"/>
          <w:color w:val="000000"/>
          <w:sz w:val="22"/>
        </w:rPr>
        <w:t xml:space="preserve"> 表示其他边界的总外流摩尔率。若远端通量可忽略且初始总量为零，则 M=</w:t>
      </w:r>
      <w:r>
        <w:rPr>
          <w:rFonts w:ascii="Consolas" w:hAnsi="Consolas" w:cs="Consolas" w:eastAsia="宋体"/>
          <w:color w:val="1F3D50"/>
          <w:sz w:val="21"/>
        </w:rPr>
        <w:t>NAt</w:t>
      </w:r>
      <w:r>
        <w:rPr>
          <w:rFonts w:ascii="宋体" w:hAnsi="宋体" w:cs="宋体" w:eastAsia="宋体"/>
          <w:color w:val="000000"/>
          <w:sz w:val="22"/>
        </w:rPr>
        <w:t>。单位面积形式为 ∫c dy=Nt，便于一维解析验证。</w:t>
      </w:r>
    </w:p>
    <w:p>
      <w:pPr>
        <w:keepLines w:val="0"/>
        <w:widowControl/>
        <w:spacing w:line="336" w:lineRule="auto" w:after="120"/>
        <w:ind w:firstLine="420"/>
      </w:pPr>
      <w:r>
        <w:rPr>
          <w:rFonts w:ascii="宋体" w:hAnsi="宋体" w:cs="宋体" w:eastAsia="宋体"/>
          <w:color w:val="000000"/>
          <w:sz w:val="22"/>
        </w:rPr>
        <w:t xml:space="preserve">本例横截面积为 1×10⁻¹⁰ m²，t=1 s 时的累计输入量约为 5.18213×10⁻¹⁴ </w:t>
      </w:r>
      <w:r>
        <w:rPr>
          <w:rFonts w:ascii="Consolas" w:hAnsi="Consolas" w:cs="Consolas" w:eastAsia="宋体"/>
          <w:color w:val="1F3D50"/>
          <w:sz w:val="21"/>
        </w:rPr>
        <w:t>mol</w:t>
      </w:r>
      <w:r>
        <w:rPr>
          <w:rFonts w:ascii="宋体" w:hAnsi="宋体" w:cs="宋体" w:eastAsia="宋体"/>
          <w:color w:val="000000"/>
          <w:sz w:val="22"/>
        </w:rPr>
        <w:t>。总量虽然较小，但相对误差仍可定义为 [</w:t>
      </w:r>
      <w:r>
        <w:rPr>
          <w:rFonts w:ascii="Consolas" w:hAnsi="Consolas" w:cs="Consolas" w:eastAsia="宋体"/>
          <w:color w:val="1F3D50"/>
          <w:sz w:val="21"/>
        </w:rPr>
        <w:t>Mnum</w:t>
      </w:r>
      <w:r>
        <w:rPr>
          <w:rFonts w:ascii="宋体" w:hAnsi="宋体" w:cs="宋体" w:eastAsia="宋体"/>
          <w:color w:val="000000"/>
          <w:sz w:val="22"/>
        </w:rPr>
        <w:t>−</w:t>
      </w:r>
      <w:r>
        <w:rPr>
          <w:rFonts w:ascii="Consolas" w:hAnsi="Consolas" w:cs="Consolas" w:eastAsia="宋体"/>
          <w:color w:val="1F3D50"/>
          <w:sz w:val="21"/>
        </w:rPr>
        <w:t>NAt</w:t>
      </w:r>
      <w:r>
        <w:rPr>
          <w:rFonts w:ascii="宋体" w:hAnsi="宋体" w:cs="宋体" w:eastAsia="宋体"/>
          <w:color w:val="000000"/>
          <w:sz w:val="22"/>
        </w:rPr>
        <w:t>]/</w:t>
      </w:r>
      <w:r>
        <w:rPr>
          <w:rFonts w:ascii="Consolas" w:hAnsi="Consolas" w:cs="Consolas" w:eastAsia="宋体"/>
          <w:color w:val="1F3D50"/>
          <w:sz w:val="21"/>
        </w:rPr>
        <w:t>NAt</w:t>
      </w:r>
      <w:r>
        <w:rPr>
          <w:rFonts w:ascii="宋体" w:hAnsi="宋体" w:cs="宋体" w:eastAsia="宋体"/>
          <w:color w:val="000000"/>
          <w:sz w:val="22"/>
        </w:rPr>
        <w:t>。测试记录的相对误差约为 1.02×10⁻¹³，说明此时离散积分与累计边界输入一致。该误差与壁面浓度误差具有不同含义：守恒良好并不要求局部剖面完全没有离散误差。</w:t>
      </w:r>
    </w:p>
    <w:p>
      <w:pPr>
        <w:keepLines w:val="0"/>
        <w:widowControl/>
        <w:spacing w:line="336" w:lineRule="auto" w:after="120"/>
        <w:ind w:firstLine="420"/>
      </w:pPr>
      <w:r>
        <w:rPr>
          <w:rFonts w:ascii="宋体" w:hAnsi="宋体" w:cs="宋体" w:eastAsia="宋体"/>
          <w:color w:val="000000"/>
          <w:sz w:val="22"/>
        </w:rPr>
        <w:t xml:space="preserve">非均匀网格应逐单元计算 </w:t>
      </w:r>
      <w:r>
        <w:rPr>
          <w:rFonts w:ascii="Consolas" w:hAnsi="Consolas" w:cs="Consolas" w:eastAsia="宋体"/>
          <w:color w:val="1F3D50"/>
          <w:sz w:val="21"/>
        </w:rPr>
        <w:t>ciVi</w:t>
      </w:r>
      <w:r>
        <w:rPr>
          <w:rFonts w:ascii="宋体" w:hAnsi="宋体" w:cs="宋体" w:eastAsia="宋体"/>
          <w:color w:val="000000"/>
          <w:sz w:val="22"/>
        </w:rPr>
        <w:t>。将浓度直接求和会给小单元与大单元相同权重，导致积分错误。零时刻累计输入量为零，不计算相对误差；极短时刻可同时报告绝对误差，避免很小的分母放大数值波动。顶面扩散通量不可忽略时，应将其纳入总量收支。</w:t>
      </w:r>
    </w:p>
    <w:p>
      <w:pPr>
        <w:pStyle w:val="Heading1"/>
        <w:keepNext/>
        <w:spacing w:before="260" w:after="120"/>
      </w:pPr>
      <w:r>
        <w:rPr>
          <w:rFonts w:ascii="黑体" w:hAnsi="黑体" w:cs="黑体" w:eastAsia="黑体"/>
          <w:color w:val="000000"/>
          <w:sz w:val="28"/>
        </w:rPr>
        <w:t>7 轴对称局部通量算例</w:t>
      </w:r>
    </w:p>
    <w:p>
      <w:pPr>
        <w:keepLines w:val="0"/>
        <w:widowControl/>
        <w:spacing w:line="336" w:lineRule="auto" w:after="120"/>
        <w:ind w:firstLine="420"/>
      </w:pPr>
      <w:r>
        <w:rPr>
          <w:rFonts w:ascii="Consolas" w:hAnsi="Consolas" w:cs="Consolas" w:eastAsia="宋体"/>
          <w:color w:val="1F3D50"/>
          <w:sz w:val="21"/>
        </w:rPr>
        <w:t>axisymmetric_wedge</w:t>
      </w:r>
      <w:r>
        <w:rPr>
          <w:rFonts w:ascii="宋体" w:hAnsi="宋体" w:cs="宋体" w:eastAsia="宋体"/>
          <w:color w:val="000000"/>
          <w:sz w:val="22"/>
        </w:rPr>
        <w:t xml:space="preserve"> 将通量限制在底部中心区域，其余底面无通量。由于边界输入在径向上不均匀，浓度不仅沿轴向扩散，也会沿径向扩散。中心区初期可能近似一维，但通量区域边缘从一开始就具有径向梯度。因此，一维解析解只能作为满足局部条件时的参考。</w:t>
      </w:r>
    </w:p>
    <w:p>
      <w:pPr>
        <w:keepLines w:val="0"/>
        <w:widowControl/>
        <w:spacing w:line="336" w:lineRule="auto" w:after="120"/>
        <w:ind w:firstLine="420"/>
      </w:pPr>
      <w:r>
        <w:rPr>
          <w:rFonts w:ascii="宋体" w:hAnsi="宋体" w:cs="宋体" w:eastAsia="宋体"/>
          <w:color w:val="000000"/>
          <w:sz w:val="22"/>
        </w:rPr>
        <w:t xml:space="preserve">该算例采用 2560 个单元，D 仍为 4.5×10⁻⁹ m²/s，时间步为 0.0005 s，计算至 0.05 s。测试记录显示最终浓度数值有限，最大单元浓度约为 1.78719726733 </w:t>
      </w:r>
      <w:r>
        <w:rPr>
          <w:rFonts w:ascii="Consolas" w:hAnsi="Consolas" w:cs="Consolas" w:eastAsia="宋体"/>
          <w:color w:val="1F3D50"/>
          <w:sz w:val="21"/>
        </w:rPr>
        <w:t>mol/m</w:t>
      </w:r>
      <w:r>
        <w:rPr>
          <w:rFonts w:ascii="宋体" w:hAnsi="宋体" w:cs="宋体" w:eastAsia="宋体"/>
          <w:color w:val="000000"/>
          <w:sz w:val="22"/>
        </w:rPr>
        <w:t>³。其计算时间和局部通量几何与一维算例不同，不能直接把这一最大值与一维算例 1 s 的壁面浓度作参数优劣比较。</w:t>
      </w:r>
    </w:p>
    <w:p>
      <w:pPr>
        <w:keepNext/>
        <w:spacing w:before="120" w:after="120"/>
        <w:jc w:val="center"/>
      </w:pPr>
      <w:r>
        <w:drawing>
          <wp:inline xmlns:a="http://schemas.openxmlformats.org/drawingml/2006/main" xmlns:pic="http://schemas.openxmlformats.org/drawingml/2006/picture">
            <wp:extent cx="5544765" cy="3474719"/>
            <wp:docPr id="2" name="Picture 2"/>
            <wp:cNvGraphicFramePr>
              <a:graphicFrameLocks noChangeAspect="1"/>
            </wp:cNvGraphicFramePr>
            <a:graphic>
              <a:graphicData uri="http://schemas.openxmlformats.org/drawingml/2006/picture">
                <pic:pic>
                  <pic:nvPicPr>
                    <pic:cNvPr id="0" name="axisymmetric_wedge_field.png"/>
                    <pic:cNvPicPr/>
                  </pic:nvPicPr>
                  <pic:blipFill>
                    <a:blip r:embed="rId10"/>
                    <a:stretch>
                      <a:fillRect/>
                    </a:stretch>
                  </pic:blipFill>
                  <pic:spPr>
                    <a:xfrm>
                      <a:off x="0" y="0"/>
                      <a:ext cx="5544765"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图中浓度分布用于识别通量区域附近的轴向扩散和边缘径向扩散。可在中心轴附近沿 y 取线，并在同一高度沿径向取线，分别比较两方向梯度。总注入量应使用实际通量区域面积，楔形域与完整轴对称体的换算应采用相同角度比例。</w:t>
      </w:r>
    </w:p>
    <w:p>
      <w:pPr>
        <w:pStyle w:val="Heading1"/>
        <w:keepNext/>
        <w:spacing w:before="260" w:after="120"/>
      </w:pPr>
      <w:r>
        <w:rPr>
          <w:rFonts w:ascii="黑体" w:hAnsi="黑体" w:cs="黑体" w:eastAsia="黑体"/>
          <w:color w:val="000000"/>
          <w:sz w:val="28"/>
        </w:rPr>
        <w:t>8 参数对照 错误分析与依据</w:t>
      </w:r>
    </w:p>
    <w:p>
      <w:pPr>
        <w:keepLines w:val="0"/>
        <w:widowControl/>
        <w:spacing w:line="336" w:lineRule="auto" w:after="120"/>
        <w:ind w:firstLine="420"/>
      </w:pPr>
      <w:r>
        <w:rPr>
          <w:rFonts w:ascii="宋体" w:hAnsi="宋体" w:cs="宋体" w:eastAsia="宋体"/>
          <w:color w:val="000000"/>
          <w:sz w:val="22"/>
        </w:rPr>
        <w:t xml:space="preserve">固定 N 将 D 减半时，理论壁面浓度增大 √2 倍，扩散尺度减小为原来的 1/√2。验证这一关系时，复制一维算例，同时修改 DT 和 </w:t>
      </w:r>
      <w:r>
        <w:rPr>
          <w:rFonts w:ascii="Consolas" w:hAnsi="Consolas" w:cs="Consolas" w:eastAsia="宋体"/>
          <w:color w:val="1F3D50"/>
          <w:sz w:val="21"/>
        </w:rPr>
        <w:t>gradient</w:t>
      </w:r>
      <w:r>
        <w:rPr>
          <w:rFonts w:ascii="宋体" w:hAnsi="宋体" w:cs="宋体" w:eastAsia="宋体"/>
          <w:color w:val="000000"/>
          <w:sz w:val="22"/>
        </w:rPr>
        <w:t>，保持几何、时间与初值不变。若只改 DT，实际 N 随之减半，所得浓度趋势将对应另一个边界问题。通过先写出不变量，可以明确参数对照的数学条件。</w:t>
      </w:r>
    </w:p>
    <w:p>
      <w:pPr>
        <w:keepLines w:val="0"/>
        <w:widowControl/>
        <w:spacing w:line="336" w:lineRule="auto" w:after="120"/>
        <w:ind w:firstLine="420"/>
      </w:pPr>
      <w:r>
        <w:rPr>
          <w:rFonts w:ascii="宋体" w:hAnsi="宋体" w:cs="宋体" w:eastAsia="宋体"/>
          <w:color w:val="000000"/>
          <w:sz w:val="22"/>
        </w:rPr>
        <w:t>浓度出现整体负值时，优先核对外法向和梯度符号；壁面误差偏大时，核对比较位置与半网格距离；总量不一致时，核对面积、体积权重和顶面通量。若改变网格后误差不再降低，还应检查时间步误差是否已经占主导。每项误差应对应具体公式和输入，而非仅依据图形平滑程度判断。</w:t>
      </w:r>
    </w:p>
    <w:p>
      <w:pPr>
        <w:pStyle w:val="Heading2"/>
        <w:keepNext/>
        <w:spacing w:before="260" w:after="120"/>
      </w:pPr>
      <w:r>
        <w:rPr>
          <w:rFonts w:ascii="黑体" w:hAnsi="黑体" w:cs="黑体" w:eastAsia="黑体"/>
          <w:color w:val="000000"/>
          <w:sz w:val="28"/>
        </w:rPr>
        <w:t>单元守恒方程与时间步尺度</w:t>
      </w:r>
    </w:p>
    <w:p>
      <w:pPr>
        <w:keepLines w:val="0"/>
        <w:widowControl/>
        <w:spacing w:line="336" w:lineRule="auto" w:after="120"/>
        <w:ind w:firstLine="420"/>
      </w:pPr>
      <w:r>
        <w:rPr>
          <w:rFonts w:ascii="宋体" w:hAnsi="宋体" w:cs="宋体" w:eastAsia="宋体"/>
          <w:color w:val="000000"/>
          <w:sz w:val="22"/>
        </w:rPr>
        <w:t>在内部均匀网格中，第 i 个单元的隐式离散可写为 (ci新−ci旧)/Δt=D(</w:t>
      </w:r>
      <w:r>
        <w:rPr>
          <w:rFonts w:ascii="Consolas" w:hAnsi="Consolas" w:cs="Consolas" w:eastAsia="宋体"/>
          <w:color w:val="1F3D50"/>
          <w:sz w:val="21"/>
        </w:rPr>
        <w:t>ci+1</w:t>
      </w:r>
      <w:r>
        <w:rPr>
          <w:rFonts w:ascii="宋体" w:hAnsi="宋体" w:cs="宋体" w:eastAsia="宋体"/>
          <w:color w:val="000000"/>
          <w:sz w:val="22"/>
        </w:rPr>
        <w:t>新−2ci新+ci−1新)/Δy²。整理后，中心系数为 1+2Fo，相邻系数为 −Fo，其中 Fo=DΔt/Δy²。这个无量纲数比较一个时间步内的扩散长度与网格尺度，能够帮助判断时间步与空间分辨率的关系。</w:t>
      </w:r>
    </w:p>
    <w:p>
      <w:pPr>
        <w:keepLines w:val="0"/>
        <w:widowControl/>
        <w:spacing w:line="336" w:lineRule="auto" w:after="120"/>
        <w:ind w:firstLine="420"/>
      </w:pPr>
      <w:r>
        <w:rPr>
          <w:rFonts w:ascii="宋体" w:hAnsi="宋体" w:cs="宋体" w:eastAsia="宋体"/>
          <w:color w:val="000000"/>
          <w:sz w:val="22"/>
        </w:rPr>
        <w:t xml:space="preserve">本例 Δy=6.25 μm、Δt=0.005 s，代入得到 Fo=0.576。隐式 </w:t>
      </w:r>
      <w:r>
        <w:rPr>
          <w:rFonts w:ascii="Consolas" w:hAnsi="Consolas" w:cs="Consolas" w:eastAsia="宋体"/>
          <w:color w:val="1F3D50"/>
          <w:sz w:val="21"/>
        </w:rPr>
        <w:t>Euler</w:t>
      </w:r>
      <w:r>
        <w:rPr>
          <w:rFonts w:ascii="宋体" w:hAnsi="宋体" w:cs="宋体" w:eastAsia="宋体"/>
          <w:color w:val="000000"/>
          <w:sz w:val="22"/>
        </w:rPr>
        <w:t xml:space="preserve"> 不受显式扩散格式同样的稳定性上限约束，但增大时间步仍会改变瞬态精度。尤其在初始时刻，壁面浓度按时间平方根增长，变化速率较大，较粗时间步可能使早期剖面产生明显偏差。稳定性与精度应通过不同指标分别检查。</w:t>
      </w:r>
    </w:p>
    <w:p>
      <w:pPr>
        <w:keepLines w:val="0"/>
        <w:widowControl/>
        <w:spacing w:line="336" w:lineRule="auto" w:after="120"/>
        <w:ind w:firstLine="420"/>
      </w:pPr>
      <w:r>
        <w:rPr>
          <w:rFonts w:ascii="宋体" w:hAnsi="宋体" w:cs="宋体" w:eastAsia="宋体"/>
          <w:color w:val="000000"/>
          <w:sz w:val="22"/>
        </w:rPr>
        <w:t>底部单元没有位于壁面之外的真实邻居，其边界面扩散输入直接由给定梯度确定。顶面固定浓度则通过壁面到最后一层单元中心的距离进入离散方程。均匀网格上这一距离为半个单元宽度，因此边界系数与内部面系数不同。把壁面误当作单元中心会同时影响边界梯度和线性系统系数。</w:t>
      </w:r>
    </w:p>
    <w:p>
      <w:pPr>
        <w:pStyle w:val="Heading2"/>
        <w:keepNext/>
        <w:spacing w:before="260" w:after="120"/>
      </w:pPr>
      <w:r>
        <w:rPr>
          <w:rFonts w:ascii="黑体" w:hAnsi="黑体" w:cs="黑体" w:eastAsia="黑体"/>
          <w:color w:val="000000"/>
          <w:sz w:val="28"/>
        </w:rPr>
        <w:t>一组完整的精度对照方法</w:t>
      </w:r>
    </w:p>
    <w:p>
      <w:pPr>
        <w:keepLines w:val="0"/>
        <w:widowControl/>
        <w:spacing w:line="336" w:lineRule="auto" w:after="120"/>
        <w:ind w:firstLine="420"/>
      </w:pPr>
      <w:r>
        <w:rPr>
          <w:rFonts w:ascii="宋体" w:hAnsi="宋体" w:cs="宋体" w:eastAsia="宋体"/>
          <w:color w:val="000000"/>
          <w:sz w:val="22"/>
        </w:rPr>
        <w:t>首先保持当前物性、通量、网格和结束时间，将时间步从原值减半，在相同位置比较浓度。再继续减小时间步，观察壁面误差和剖面误差的变化。如果变化已经很小，则可在这一时间步下进行网格加密。网格数改变后，半网格外推距离也需同步更新，不能沿用原来第一层中心位置。</w:t>
      </w:r>
    </w:p>
    <w:p>
      <w:pPr>
        <w:keepLines w:val="0"/>
        <w:widowControl/>
        <w:spacing w:line="336" w:lineRule="auto" w:after="120"/>
        <w:ind w:firstLine="420"/>
      </w:pPr>
      <w:r>
        <w:rPr>
          <w:rFonts w:ascii="宋体" w:hAnsi="宋体" w:cs="宋体" w:eastAsia="宋体"/>
          <w:color w:val="000000"/>
          <w:sz w:val="22"/>
        </w:rPr>
        <w:t>比较网格时，除报告最大误差外，还可按各单元体积计算平均绝对误差。由于大部分区域浓度接近零，整个计算域的平均误差可能较小，因此还应单独报告扩散层内的误差。扩散层范围可按相同物理长度或浓度阈值选定，但不同参数组应采用明确一致的定义。</w:t>
      </w:r>
    </w:p>
    <w:p>
      <w:pPr>
        <w:keepLines w:val="0"/>
        <w:widowControl/>
        <w:spacing w:line="336" w:lineRule="auto" w:after="120"/>
        <w:ind w:firstLine="420"/>
      </w:pPr>
      <w:r>
        <w:rPr>
          <w:rFonts w:ascii="宋体" w:hAnsi="宋体" w:cs="宋体" w:eastAsia="宋体"/>
          <w:color w:val="000000"/>
          <w:sz w:val="22"/>
        </w:rPr>
        <w:t>若固定时间步不断加密网格，空间误差降低后，时间误差可能成为主要贡献，整体误差不再按预期速度下降。此时应同时检查时间步对照结果，而非把误差停滞归因于求解器失效。线性求解容差也应足够小，使代数迭代误差不掩盖空间和时间离散误差。</w:t>
      </w:r>
    </w:p>
    <w:p>
      <w:pPr>
        <w:keepLines w:val="0"/>
        <w:widowControl/>
        <w:spacing w:line="336" w:lineRule="auto" w:after="120"/>
        <w:ind w:firstLine="420"/>
      </w:pPr>
      <w:r>
        <w:rPr>
          <w:rFonts w:ascii="宋体" w:hAnsi="宋体" w:cs="宋体" w:eastAsia="宋体"/>
          <w:color w:val="000000"/>
          <w:sz w:val="22"/>
        </w:rPr>
        <w:t>局部通量算例还涉及径向分辨率。通量区域边缘的浓度梯度较强，应检查该处网格是否足够细，轴向加密与径向加密可分别进行。比较中心轴剖面时，取线位置应避开数值上的退化轴面，并保持各算例使用相同径向位置。总量积分仍采用所有单元的实际体积，不能用轴线上一条曲线代替整个轴对称区域。</w:t>
      </w:r>
    </w:p>
    <w:p>
      <w:pPr>
        <w:keepLines w:val="0"/>
        <w:widowControl/>
        <w:spacing w:line="336" w:lineRule="auto" w:after="120"/>
        <w:ind w:firstLine="420"/>
      </w:pPr>
      <w:r>
        <w:rPr>
          <w:rFonts w:ascii="宋体" w:hAnsi="宋体" w:cs="宋体" w:eastAsia="宋体"/>
          <w:color w:val="000000"/>
          <w:sz w:val="22"/>
        </w:rPr>
        <w:t>对较长时间计算，顶部固定零浓度会允许标量扩散流出。此时域内总量小于累计输入不一定表示守恒错误，应把顶部通量随时间的积分加入收支关系。判断边界效应时，可同时查看顶面附近浓度剖面与法向梯度，明确偏差来自有限域物理边界还是数值离散。</w:t>
      </w:r>
    </w:p>
    <w:p>
      <w:pPr>
        <w:keepLines w:val="0"/>
        <w:widowControl/>
        <w:spacing w:line="336" w:lineRule="auto" w:after="120"/>
        <w:ind w:firstLine="420"/>
      </w:pPr>
      <w:r>
        <w:rPr>
          <w:rFonts w:ascii="宋体" w:hAnsi="宋体" w:cs="宋体" w:eastAsia="宋体"/>
          <w:color w:val="000000"/>
          <w:sz w:val="22"/>
        </w:rPr>
        <w:t>输出精度也影响很小守恒误差的计算。本例采用十二位写出精度，处理原始场时应保留足够有效数字，最后再统一格式化结果。过早将浓度舍入为两三位小数，会使积分误差主要来自数据截断，失去评价离散守恒性的意义。</w:t>
      </w:r>
    </w:p>
    <w:p>
      <w:pPr>
        <w:keepLines w:val="0"/>
        <w:widowControl/>
        <w:spacing w:line="336" w:lineRule="auto" w:after="120"/>
        <w:ind w:firstLine="420"/>
      </w:pPr>
      <w:r>
        <w:rPr>
          <w:rFonts w:ascii="宋体" w:hAnsi="宋体" w:cs="宋体" w:eastAsia="宋体"/>
          <w:color w:val="000000"/>
          <w:sz w:val="22"/>
        </w:rPr>
        <w:t>对于轴对称局部通量，径向坐标对应完整旋转体中的圆环位置，远离轴线的相同径向宽度包含更大体积。因此比较总量时必须保留几何权重。沿轴线或径向的浓度曲线适合解释分布，但其普通一维积分不能替代轴对称体积积分。</w:t>
      </w:r>
    </w:p>
    <w:p>
      <w:pPr>
        <w:keepLines w:val="0"/>
        <w:widowControl/>
        <w:spacing w:line="336" w:lineRule="auto" w:after="120"/>
        <w:ind w:firstLine="420"/>
      </w:pPr>
      <w:r>
        <w:rPr>
          <w:rFonts w:ascii="宋体" w:hAnsi="宋体" w:cs="宋体" w:eastAsia="宋体"/>
          <w:color w:val="000000"/>
          <w:sz w:val="22"/>
        </w:rPr>
        <w:t xml:space="preserve">本讲依据当前 </w:t>
      </w:r>
      <w:r>
        <w:rPr>
          <w:rFonts w:ascii="Consolas" w:hAnsi="Consolas" w:cs="Consolas" w:eastAsia="宋体"/>
          <w:color w:val="1F3D50"/>
          <w:sz w:val="21"/>
        </w:rPr>
        <w:t>v2512</w:t>
      </w:r>
      <w:r>
        <w:rPr>
          <w:rFonts w:ascii="宋体" w:hAnsi="宋体" w:cs="宋体" w:eastAsia="宋体"/>
          <w:color w:val="000000"/>
          <w:sz w:val="22"/>
        </w:rPr>
        <w:t xml:space="preserve"> 的 </w:t>
      </w:r>
      <w:r>
        <w:rPr>
          <w:rFonts w:ascii="Consolas" w:hAnsi="Consolas" w:cs="Consolas" w:eastAsia="宋体"/>
          <w:color w:val="1F3D50"/>
          <w:sz w:val="21"/>
        </w:rPr>
        <w:t>laplacianFoam</w:t>
      </w:r>
      <w:r>
        <w:rPr>
          <w:rFonts w:ascii="宋体" w:hAnsi="宋体" w:cs="宋体" w:eastAsia="宋体"/>
          <w:color w:val="000000"/>
          <w:sz w:val="22"/>
        </w:rPr>
        <w:t>、</w:t>
      </w:r>
      <w:r>
        <w:rPr>
          <w:rFonts w:ascii="Consolas" w:hAnsi="Consolas" w:cs="Consolas" w:eastAsia="宋体"/>
          <w:color w:val="1F3D50"/>
          <w:sz w:val="21"/>
        </w:rPr>
        <w:t>fixedGradient</w:t>
      </w:r>
      <w:r>
        <w:rPr>
          <w:rFonts w:ascii="宋体" w:hAnsi="宋体" w:cs="宋体" w:eastAsia="宋体"/>
          <w:color w:val="000000"/>
          <w:sz w:val="22"/>
        </w:rPr>
        <w:t xml:space="preserve"> 与 </w:t>
      </w:r>
      <w:r>
        <w:rPr>
          <w:rFonts w:ascii="Consolas" w:hAnsi="Consolas" w:cs="Consolas" w:eastAsia="宋体"/>
          <w:color w:val="1F3D50"/>
          <w:sz w:val="21"/>
        </w:rPr>
        <w:t>transportProperties</w:t>
      </w:r>
      <w:r>
        <w:rPr>
          <w:rFonts w:ascii="宋体" w:hAnsi="宋体" w:cs="宋体" w:eastAsia="宋体"/>
          <w:color w:val="000000"/>
          <w:sz w:val="22"/>
        </w:rPr>
        <w:t xml:space="preserve"> 设置，以及两组算例的输入文件和测试记录。已有 </w:t>
      </w:r>
      <w:r>
        <w:rPr>
          <w:rFonts w:ascii="Consolas" w:hAnsi="Consolas" w:cs="Consolas" w:eastAsia="宋体"/>
          <w:color w:val="1F3D50"/>
          <w:sz w:val="21"/>
        </w:rPr>
        <w:t>all-slides.pdf</w:t>
      </w:r>
      <w:r>
        <w:rPr>
          <w:rFonts w:ascii="宋体" w:hAnsi="宋体" w:cs="宋体" w:eastAsia="宋体"/>
          <w:color w:val="000000"/>
          <w:sz w:val="22"/>
        </w:rPr>
        <w:t xml:space="preserve"> 第 619—669 页可用于复习扩散离散；命令查询与场量读取方法见所附 </w:t>
      </w:r>
      <w:r>
        <w:rPr>
          <w:rFonts w:ascii="Consolas" w:hAnsi="Consolas" w:cs="Consolas" w:eastAsia="宋体"/>
          <w:color w:val="1F3D50"/>
          <w:sz w:val="21"/>
        </w:rPr>
        <w:t>v2512</w:t>
      </w:r>
      <w:r>
        <w:rPr>
          <w:rFonts w:ascii="宋体" w:hAnsi="宋体" w:cs="宋体" w:eastAsia="宋体"/>
          <w:color w:val="000000"/>
          <w:sz w:val="22"/>
        </w:rPr>
        <w:t xml:space="preserve"> 命令资料。</w:t>
      </w:r>
    </w:p>
    <w:p>
      <w:pPr>
        <w:pStyle w:val="Heading1"/>
        <w:keepNext/>
        <w:spacing w:before="260" w:after="120"/>
      </w:pPr>
      <w:r>
        <w:rPr>
          <w:rFonts w:ascii="黑体" w:hAnsi="黑体" w:cs="黑体" w:eastAsia="黑体"/>
          <w:color w:val="000000"/>
          <w:sz w:val="28"/>
        </w:rPr>
        <w:t>9 恒通量解析解与离散边界误差</w:t>
      </w:r>
    </w:p>
    <w:p>
      <w:pPr>
        <w:keepLines w:val="0"/>
        <w:widowControl/>
        <w:spacing w:line="336" w:lineRule="auto" w:after="120"/>
        <w:ind w:firstLine="420"/>
      </w:pPr>
      <w:r>
        <w:rPr>
          <w:rFonts w:ascii="宋体" w:hAnsi="宋体" w:cs="宋体" w:eastAsia="宋体"/>
          <w:color w:val="000000"/>
          <w:sz w:val="22"/>
        </w:rPr>
        <w:t>恒通量扩散能够同时检验边界输入、内部扩散与总量守恒。考虑y≥0的半无限域，初始浓度为零，扩散系数D恒定，底部以单位面积通量J0向域内输入物质。由方程∂c/∂t=D∂²c/∂y²可得表面浓度cs=2J0√(t/πD)，完整剖面包含高斯项和互补误差函数项。由控制体积分则得到单位面积累计总量</w:t>
      </w:r>
      <w:r>
        <w:rPr>
          <w:rFonts w:ascii="Consolas" w:hAnsi="Consolas" w:cs="Consolas" w:eastAsia="宋体"/>
          <w:color w:val="1F3D50"/>
          <w:sz w:val="21"/>
        </w:rPr>
        <w:t>J0t</w:t>
      </w:r>
      <w:r>
        <w:rPr>
          <w:rFonts w:ascii="宋体" w:hAnsi="宋体" w:cs="宋体" w:eastAsia="宋体"/>
          <w:color w:val="000000"/>
          <w:sz w:val="22"/>
        </w:rPr>
        <w:t>。前一关系反映局部扩散层形状，后一关系反映净输入，不能用总量吻合代替局部精度评价。</w:t>
      </w:r>
    </w:p>
    <w:p>
      <w:pPr>
        <w:keepLines w:val="0"/>
        <w:widowControl/>
        <w:spacing w:line="336" w:lineRule="auto" w:after="120"/>
        <w:ind w:firstLine="420"/>
      </w:pPr>
      <w:r>
        <w:rPr>
          <w:rFonts w:ascii="宋体" w:hAnsi="宋体" w:cs="宋体" w:eastAsia="宋体"/>
          <w:color w:val="000000"/>
          <w:sz w:val="22"/>
        </w:rPr>
        <w:t>有限计算域使用半无限解析解时，需要确认扩散层未受顶部边界影响。可取√(Dt)估计扩散长度，将其与域高比较，并直接检查顶部浓度及梯度。当扩散层接近域高时，解析参照应改为有限域解或延长计算域。此时即使网格继续加密，有限域数值解也不会趋近原来的半无限解，因为二者求解的问题已经不同。</w:t>
      </w:r>
    </w:p>
    <w:p>
      <w:pPr>
        <w:keepLines w:val="0"/>
        <w:widowControl/>
        <w:spacing w:line="336" w:lineRule="auto" w:after="120"/>
        <w:ind w:firstLine="420"/>
      </w:pPr>
      <w:r>
        <w:rPr>
          <w:rFonts w:ascii="Consolas" w:hAnsi="Consolas" w:cs="Consolas" w:eastAsia="宋体"/>
          <w:color w:val="1F3D50"/>
          <w:sz w:val="21"/>
        </w:rPr>
        <w:t>OpenFOAM</w:t>
      </w:r>
      <w:r>
        <w:rPr>
          <w:rFonts w:ascii="宋体" w:hAnsi="宋体" w:cs="宋体" w:eastAsia="宋体"/>
          <w:color w:val="000000"/>
          <w:sz w:val="22"/>
        </w:rPr>
        <w:t>的</w:t>
      </w:r>
      <w:r>
        <w:rPr>
          <w:rFonts w:ascii="Consolas" w:hAnsi="Consolas" w:cs="Consolas" w:eastAsia="宋体"/>
          <w:color w:val="1F3D50"/>
          <w:sz w:val="21"/>
        </w:rPr>
        <w:t>fixedGradient</w:t>
      </w:r>
      <w:r>
        <w:rPr>
          <w:rFonts w:ascii="宋体" w:hAnsi="宋体" w:cs="宋体" w:eastAsia="宋体"/>
          <w:color w:val="000000"/>
          <w:sz w:val="22"/>
        </w:rPr>
        <w:t>表示外法向梯度。底部的外法向指向负y方向，而输入扩散通量指向正y方向。由j=−D∇c，有j·n=−J0，从而∂c/∂n=</w:t>
      </w:r>
      <w:r>
        <w:rPr>
          <w:rFonts w:ascii="Consolas" w:hAnsi="Consolas" w:cs="Consolas" w:eastAsia="宋体"/>
          <w:color w:val="1F3D50"/>
          <w:sz w:val="21"/>
        </w:rPr>
        <w:t>J0/D</w:t>
      </w:r>
      <w:r>
        <w:rPr>
          <w:rFonts w:ascii="宋体" w:hAnsi="宋体" w:cs="宋体" w:eastAsia="宋体"/>
          <w:color w:val="000000"/>
          <w:sz w:val="22"/>
        </w:rPr>
        <w:t>。这个正号来自法向定义，不能依据坐标导数∂c/∂y&lt;0直接填入负值。按七维量纲核对，c为</w:t>
      </w:r>
      <w:r>
        <w:rPr>
          <w:rFonts w:ascii="Consolas" w:hAnsi="Consolas" w:cs="Consolas" w:eastAsia="宋体"/>
          <w:color w:val="1F3D50"/>
          <w:sz w:val="21"/>
        </w:rPr>
        <w:t>mol/m</w:t>
      </w:r>
      <w:r>
        <w:rPr>
          <w:rFonts w:ascii="宋体" w:hAnsi="宋体" w:cs="宋体" w:eastAsia="宋体"/>
          <w:color w:val="000000"/>
          <w:sz w:val="22"/>
        </w:rPr>
        <w:t>³，梯度为</w:t>
      </w:r>
      <w:r>
        <w:rPr>
          <w:rFonts w:ascii="Consolas" w:hAnsi="Consolas" w:cs="Consolas" w:eastAsia="宋体"/>
          <w:color w:val="1F3D50"/>
          <w:sz w:val="21"/>
        </w:rPr>
        <w:t>mol/m</w:t>
      </w:r>
      <w:r>
        <w:rPr>
          <w:rFonts w:ascii="宋体" w:hAnsi="宋体" w:cs="宋体" w:eastAsia="宋体"/>
          <w:color w:val="000000"/>
          <w:sz w:val="22"/>
        </w:rPr>
        <w:t>⁴，乘以D后得到</w:t>
      </w:r>
      <w:r>
        <w:rPr>
          <w:rFonts w:ascii="Consolas" w:hAnsi="Consolas" w:cs="Consolas" w:eastAsia="宋体"/>
          <w:color w:val="1F3D50"/>
          <w:sz w:val="21"/>
        </w:rPr>
        <w:t>mol/(m²·s)</w:t>
      </w:r>
      <w:r>
        <w:rPr>
          <w:rFonts w:ascii="宋体" w:hAnsi="宋体" w:cs="宋体" w:eastAsia="宋体"/>
          <w:color w:val="000000"/>
          <w:sz w:val="22"/>
        </w:rPr>
        <w:t>。</w:t>
      </w:r>
    </w:p>
    <w:p>
      <w:pPr>
        <w:keepLines w:val="0"/>
        <w:widowControl/>
        <w:spacing w:line="336" w:lineRule="auto" w:after="120"/>
        <w:ind w:firstLine="420"/>
      </w:pPr>
      <w:r>
        <w:rPr>
          <w:rFonts w:ascii="宋体" w:hAnsi="宋体" w:cs="宋体" w:eastAsia="宋体"/>
          <w:color w:val="000000"/>
          <w:sz w:val="22"/>
        </w:rPr>
        <w:t>首层单元中心距壁面约Δ</w:t>
      </w:r>
      <w:r>
        <w:rPr>
          <w:rFonts w:ascii="Consolas" w:hAnsi="Consolas" w:cs="Consolas" w:eastAsia="宋体"/>
          <w:color w:val="1F3D50"/>
          <w:sz w:val="21"/>
        </w:rPr>
        <w:t>y/2</w:t>
      </w:r>
      <w:r>
        <w:rPr>
          <w:rFonts w:ascii="宋体" w:hAnsi="宋体" w:cs="宋体" w:eastAsia="宋体"/>
          <w:color w:val="000000"/>
          <w:sz w:val="22"/>
        </w:rPr>
        <w:t>，其浓度不是壁面浓度。局部线性近似下，二者差约J0Δy/(2D)。因此，使用首层中心值与cs比较时，误差同时包含采样位置偏差与离散误差。更严格的比较是在同一单元中心计算解析值；若研究边界表面浓度，则按边界面值进行统计，明确面值的离散构造。网格收敛表应固定统计定义，并同时列出中心剖面误差、表面浓度误差和累计总量误差。</w:t>
      </w:r>
    </w:p>
    <w:sectPr w:rsidR="00FC693F" w:rsidRPr="0006063C" w:rsidSect="00034616">
      <w:footerReference w:type="default" r:id="rId11"/>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第21讲 标量扩散与通量边界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第21讲 标量扩散与通量边界</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