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690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0A7F8C4D" w:rsidR="003063F1" w:rsidRDefault="009D533A" w:rsidP="00D66A66">
            <w:pPr>
              <w:tabs>
                <w:tab w:val="left" w:pos="2364"/>
              </w:tabs>
              <w:jc w:val="center"/>
            </w:pPr>
            <w:r>
              <w:t>Bit Transitions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4083F727" w:rsidR="009D533A" w:rsidRDefault="009D533A" w:rsidP="009D533A">
            <w:pPr>
              <w:jc w:val="center"/>
            </w:pPr>
            <w:r>
              <w:t>2.3.2.1.4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3344E7A3" w:rsidR="003063F1" w:rsidRDefault="009D533A" w:rsidP="00D66A66">
            <w:pPr>
              <w:jc w:val="center"/>
            </w:pPr>
            <w:r>
              <w:t>10/31/2020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05C5CAE0" w:rsidR="003063F1" w:rsidRDefault="009D533A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4D06A274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2307F47F" w:rsidR="003063F1" w:rsidRDefault="009D533A" w:rsidP="00E46471">
            <w:r>
              <w:t>The purpose of this experiment is to ensure that the waveforms of our output do not suffer due to bit transitions.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655BDCA0" w14:textId="77777777" w:rsidR="00C54296" w:rsidRDefault="00C54296" w:rsidP="00C54296">
            <w:r>
              <w:t>Force the TNC into a debugging broadcast mode, then use the Digilent</w:t>
            </w:r>
          </w:p>
          <w:p w14:paraId="0699935D" w14:textId="102BCA88" w:rsidR="00F15DE6" w:rsidRDefault="00C54296" w:rsidP="00C54296">
            <w:r>
              <w:t>discovery 2 to measure the waveform frequency at many points.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1DF8F365" w:rsidR="00F15DE6" w:rsidRDefault="00C54296" w:rsidP="00C34B91">
            <w:r>
              <w:t>The Digilent will be set to record the waveform and an optical inspection will be used.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6AF35870" w14:textId="29776020" w:rsidR="00962C70" w:rsidRPr="00962C70" w:rsidRDefault="00962C70" w:rsidP="00962C70">
            <w:pPr>
              <w:rPr>
                <w:rFonts w:ascii="Calibri" w:eastAsia="Times New Roman" w:hAnsi="Calibri" w:cs="Calibri"/>
              </w:rPr>
            </w:pPr>
          </w:p>
          <w:p w14:paraId="03E7FA86" w14:textId="443EBD41" w:rsidR="00F15DE6" w:rsidRDefault="00962C70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2153BF" wp14:editId="10C081C3">
                  <wp:extent cx="4206875" cy="101219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875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12932857" w:rsidR="00F15DE6" w:rsidRDefault="00175308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F502C" wp14:editId="59337529">
                  <wp:extent cx="4241800" cy="1663184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03" cy="166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4A49EE28" w:rsidR="00F15DE6" w:rsidRDefault="00175308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27BC091B" w:rsidR="00F15DE6" w:rsidRDefault="00175308" w:rsidP="00490282">
            <w:r>
              <w:t xml:space="preserve">The waveform is very continuous. You will notice the change in frequency when the digital value is 0. This is due to the NRZI encoding </w:t>
            </w:r>
            <w:r w:rsidR="003F5940">
              <w:t>scheme,</w:t>
            </w:r>
            <w:r>
              <w:t xml:space="preserve"> but the phase is continuous.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2768826" w:rsidR="00F15DE6" w:rsidRDefault="005A1EB7" w:rsidP="00D66A66">
            <w:pPr>
              <w:jc w:val="center"/>
            </w:pPr>
            <w:r>
              <w:t>None.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0E0511"/>
    <w:rsid w:val="001261D0"/>
    <w:rsid w:val="00175308"/>
    <w:rsid w:val="001F1EA0"/>
    <w:rsid w:val="00292435"/>
    <w:rsid w:val="003063F1"/>
    <w:rsid w:val="003F5940"/>
    <w:rsid w:val="004625E8"/>
    <w:rsid w:val="00490282"/>
    <w:rsid w:val="00570F17"/>
    <w:rsid w:val="005A1EB7"/>
    <w:rsid w:val="00706B37"/>
    <w:rsid w:val="00762053"/>
    <w:rsid w:val="00795E4A"/>
    <w:rsid w:val="00962C70"/>
    <w:rsid w:val="009D533A"/>
    <w:rsid w:val="009D66EE"/>
    <w:rsid w:val="00C34B91"/>
    <w:rsid w:val="00C54296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47</cp:revision>
  <dcterms:created xsi:type="dcterms:W3CDTF">2020-10-04T16:11:00Z</dcterms:created>
  <dcterms:modified xsi:type="dcterms:W3CDTF">2020-11-01T03:52:00Z</dcterms:modified>
</cp:coreProperties>
</file>