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63768" w14:textId="77777777" w:rsidR="00E85F48" w:rsidRDefault="00DE2CB8">
      <w:pPr>
        <w:snapToGrid w:val="0"/>
        <w:spacing w:afterLines="50" w:after="156" w:line="440" w:lineRule="exact"/>
        <w:ind w:firstLineChars="200" w:firstLine="643"/>
        <w:jc w:val="center"/>
        <w:rPr>
          <w:rFonts w:ascii="楷体" w:eastAsia="楷体" w:hAnsi="楷体" w:cs="楷体_GB2312"/>
          <w:b/>
          <w:bCs/>
          <w:color w:val="0000FF"/>
          <w:sz w:val="32"/>
          <w:szCs w:val="32"/>
        </w:rPr>
      </w:pPr>
      <w:r>
        <w:rPr>
          <w:rFonts w:ascii="楷体" w:eastAsia="楷体" w:hAnsi="楷体" w:cs="楷体_GB2312" w:hint="eastAsia"/>
          <w:b/>
          <w:bCs/>
          <w:sz w:val="32"/>
          <w:szCs w:val="32"/>
        </w:rPr>
        <w:t>报告正文</w:t>
      </w:r>
    </w:p>
    <w:p w14:paraId="30D86839" w14:textId="77777777" w:rsidR="00E85F48" w:rsidRDefault="00DE2CB8">
      <w:pPr>
        <w:snapToGrid w:val="0"/>
        <w:spacing w:afterLines="50" w:after="156" w:line="440" w:lineRule="exact"/>
        <w:ind w:firstLineChars="200" w:firstLine="560"/>
        <w:rPr>
          <w:rFonts w:ascii="楷体" w:eastAsia="楷体" w:hAnsi="楷体" w:cs="楷体_GB2312"/>
          <w:b/>
          <w:iCs/>
          <w:color w:val="0070C0"/>
          <w:sz w:val="28"/>
          <w:szCs w:val="28"/>
        </w:rPr>
      </w:pPr>
      <w:r>
        <w:rPr>
          <w:rFonts w:ascii="楷体" w:eastAsia="楷体" w:hAnsi="楷体" w:cs="楷体_GB2312" w:hint="eastAsia"/>
          <w:sz w:val="28"/>
          <w:szCs w:val="28"/>
        </w:rPr>
        <w:t>参照以下提纲撰写，要求内容翔实、清晰，层次分明，标题突出</w:t>
      </w:r>
      <w:r>
        <w:rPr>
          <w:rFonts w:ascii="楷体" w:eastAsia="楷体" w:hAnsi="楷体" w:cs="楷体_GB2312" w:hint="eastAsia"/>
          <w:iCs/>
          <w:sz w:val="28"/>
          <w:szCs w:val="28"/>
        </w:rPr>
        <w:t>。</w:t>
      </w:r>
      <w:r>
        <w:rPr>
          <w:rFonts w:ascii="楷体" w:eastAsia="楷体" w:hAnsi="楷体" w:cs="楷体_GB2312" w:hint="eastAsia"/>
          <w:b/>
          <w:iCs/>
          <w:color w:val="0070C0"/>
          <w:sz w:val="28"/>
          <w:szCs w:val="28"/>
        </w:rPr>
        <w:t>请勿删除或改动下述提纲标题及括号中的文字。</w:t>
      </w:r>
    </w:p>
    <w:p w14:paraId="79232B92" w14:textId="77777777" w:rsidR="00E85F48" w:rsidRDefault="00E85F48">
      <w:pPr>
        <w:snapToGrid w:val="0"/>
        <w:spacing w:afterLines="50" w:after="156" w:line="440" w:lineRule="exact"/>
        <w:ind w:left="420"/>
        <w:rPr>
          <w:rFonts w:asciiTheme="minorEastAsia" w:eastAsiaTheme="minorEastAsia" w:hAnsiTheme="minorEastAsia"/>
          <w:sz w:val="24"/>
          <w:szCs w:val="24"/>
        </w:rPr>
      </w:pPr>
      <w:permStart w:id="1170549453" w:edGrp="everyone"/>
    </w:p>
    <w:permEnd w:id="1170549453"/>
    <w:p w14:paraId="554B6A36" w14:textId="77777777" w:rsidR="00E85F48" w:rsidRDefault="00DE2CB8">
      <w:pPr>
        <w:snapToGrid w:val="0"/>
        <w:spacing w:afterLines="50" w:after="156" w:line="440" w:lineRule="exact"/>
        <w:ind w:left="420"/>
        <w:rPr>
          <w:rFonts w:ascii="楷体" w:eastAsia="楷体" w:hAnsi="楷体"/>
          <w:color w:val="0070C0"/>
          <w:sz w:val="28"/>
          <w:szCs w:val="28"/>
        </w:rPr>
      </w:pPr>
      <w:r>
        <w:rPr>
          <w:rFonts w:ascii="楷体" w:eastAsia="楷体" w:hAnsi="楷体" w:cs="楷体_GB2312" w:hint="eastAsia"/>
          <w:b/>
          <w:bCs/>
          <w:color w:val="0070C0"/>
          <w:sz w:val="28"/>
          <w:szCs w:val="28"/>
        </w:rPr>
        <w:t>（一）立项依据与研究内容</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建议</w:t>
      </w:r>
      <w:r>
        <w:rPr>
          <w:rFonts w:ascii="楷体" w:eastAsia="楷体" w:hAnsi="楷体" w:cs="楷体_GB2312"/>
          <w:b/>
          <w:bCs/>
          <w:color w:val="0070C0"/>
          <w:sz w:val="28"/>
          <w:szCs w:val="28"/>
        </w:rPr>
        <w:t>8000</w:t>
      </w:r>
      <w:r>
        <w:rPr>
          <w:rFonts w:ascii="楷体" w:eastAsia="楷体" w:hAnsi="楷体" w:cs="楷体_GB2312" w:hint="eastAsia"/>
          <w:b/>
          <w:bCs/>
          <w:color w:val="0070C0"/>
          <w:sz w:val="28"/>
          <w:szCs w:val="28"/>
        </w:rPr>
        <w:t>字以下</w:t>
      </w:r>
      <w:r>
        <w:rPr>
          <w:rFonts w:ascii="楷体" w:eastAsia="楷体" w:hAnsi="楷体" w:cs="楷体_GB2312" w:hint="eastAsia"/>
          <w:color w:val="0070C0"/>
          <w:sz w:val="28"/>
          <w:szCs w:val="28"/>
        </w:rPr>
        <w:t>）：</w:t>
      </w:r>
    </w:p>
    <w:p w14:paraId="4936824B" w14:textId="77777777" w:rsidR="00E85F48" w:rsidRDefault="00DE2CB8">
      <w:pPr>
        <w:snapToGrid w:val="0"/>
        <w:spacing w:line="440" w:lineRule="exact"/>
        <w:ind w:firstLineChars="196" w:firstLine="549"/>
        <w:rPr>
          <w:rFonts w:ascii="楷体" w:eastAsia="楷体" w:hAnsi="楷体" w:cs="楷体_GB2312"/>
          <w:color w:val="0070C0"/>
          <w:sz w:val="28"/>
          <w:szCs w:val="28"/>
        </w:rPr>
      </w:pPr>
      <w:r>
        <w:rPr>
          <w:rFonts w:ascii="楷体" w:eastAsia="楷体" w:hAnsi="楷体"/>
          <w:color w:val="0070C0"/>
          <w:sz w:val="28"/>
          <w:szCs w:val="28"/>
        </w:rPr>
        <w:t>1</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项目的立项依据</w:t>
      </w:r>
      <w:r>
        <w:rPr>
          <w:rFonts w:ascii="楷体" w:eastAsia="楷体" w:hAnsi="楷体" w:cs="楷体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4B314792" w14:textId="77777777" w:rsidR="00E85F48" w:rsidRDefault="00DE2CB8">
      <w:pPr>
        <w:spacing w:line="440" w:lineRule="exact"/>
        <w:rPr>
          <w:rFonts w:eastAsia="楷体" w:cs="楷体_GB2312"/>
          <w:b/>
          <w:bCs/>
          <w:color w:val="000000" w:themeColor="text1"/>
          <w:sz w:val="28"/>
          <w:szCs w:val="28"/>
        </w:rPr>
      </w:pPr>
      <w:bookmarkStart w:id="0" w:name="OLE_LINK18"/>
      <w:permStart w:id="407914157" w:edGrp="everyone"/>
      <w:r>
        <w:rPr>
          <w:rFonts w:eastAsia="楷体" w:cs="楷体_GB2312"/>
          <w:b/>
          <w:bCs/>
          <w:color w:val="000000" w:themeColor="text1"/>
          <w:sz w:val="28"/>
          <w:szCs w:val="28"/>
        </w:rPr>
        <w:t>1.1</w:t>
      </w:r>
      <w:r>
        <w:rPr>
          <w:rFonts w:eastAsia="楷体" w:cs="楷体_GB2312"/>
          <w:b/>
          <w:bCs/>
          <w:color w:val="000000" w:themeColor="text1"/>
          <w:sz w:val="28"/>
          <w:szCs w:val="28"/>
        </w:rPr>
        <w:t>研究背景和意义</w:t>
      </w:r>
    </w:p>
    <w:bookmarkEnd w:id="0"/>
    <w:p w14:paraId="3C937B17" w14:textId="77777777" w:rsidR="00E85F48" w:rsidRDefault="00DE2CB8">
      <w:pPr>
        <w:spacing w:line="440" w:lineRule="exact"/>
        <w:ind w:firstLineChars="200" w:firstLine="480"/>
        <w:rPr>
          <w:rFonts w:eastAsia="楷体"/>
          <w:sz w:val="24"/>
          <w:szCs w:val="24"/>
        </w:rPr>
      </w:pPr>
      <w:r>
        <w:rPr>
          <w:rFonts w:eastAsia="楷体" w:hint="eastAsia"/>
          <w:sz w:val="24"/>
          <w:szCs w:val="24"/>
        </w:rPr>
        <w:t>牧草作为畜牧业可持续发展的核心保障，其高效</w:t>
      </w:r>
      <w:proofErr w:type="gramStart"/>
      <w:r>
        <w:rPr>
          <w:rFonts w:eastAsia="楷体" w:hint="eastAsia"/>
          <w:sz w:val="24"/>
          <w:szCs w:val="24"/>
        </w:rPr>
        <w:t>培育因</w:t>
      </w:r>
      <w:proofErr w:type="gramEnd"/>
      <w:r>
        <w:rPr>
          <w:rFonts w:eastAsia="楷体" w:hint="eastAsia"/>
          <w:sz w:val="24"/>
          <w:szCs w:val="24"/>
        </w:rPr>
        <w:t>长期依赖适应性不足的进口品种，导致资源高效利用率持续低下</w:t>
      </w:r>
      <w:r>
        <w:rPr>
          <w:rFonts w:eastAsia="楷体" w:hint="eastAsia"/>
          <w:sz w:val="24"/>
          <w:szCs w:val="24"/>
          <w:vertAlign w:val="superscript"/>
        </w:rPr>
        <w:t>[1]</w:t>
      </w:r>
      <w:r>
        <w:rPr>
          <w:rFonts w:eastAsia="楷体" w:hint="eastAsia"/>
          <w:sz w:val="24"/>
          <w:szCs w:val="24"/>
        </w:rPr>
        <w:t>。当前我国商业草种</w:t>
      </w:r>
      <w:r>
        <w:rPr>
          <w:rFonts w:eastAsia="楷体" w:hint="eastAsia"/>
          <w:sz w:val="24"/>
          <w:szCs w:val="24"/>
        </w:rPr>
        <w:t>60%</w:t>
      </w:r>
      <w:r>
        <w:rPr>
          <w:rFonts w:eastAsia="楷体" w:hint="eastAsia"/>
          <w:sz w:val="24"/>
          <w:szCs w:val="24"/>
        </w:rPr>
        <w:t>依赖进口，仅</w:t>
      </w:r>
      <w:r>
        <w:rPr>
          <w:rFonts w:eastAsia="楷体" w:hint="eastAsia"/>
          <w:sz w:val="24"/>
          <w:szCs w:val="24"/>
        </w:rPr>
        <w:t>2024</w:t>
      </w:r>
      <w:r>
        <w:rPr>
          <w:rFonts w:eastAsia="楷体" w:hint="eastAsia"/>
          <w:sz w:val="24"/>
          <w:szCs w:val="24"/>
        </w:rPr>
        <w:t>年四川耗资</w:t>
      </w:r>
      <w:r>
        <w:rPr>
          <w:rFonts w:eastAsia="楷体" w:hint="eastAsia"/>
          <w:sz w:val="24"/>
          <w:szCs w:val="24"/>
        </w:rPr>
        <w:t>9.2</w:t>
      </w:r>
      <w:r>
        <w:rPr>
          <w:rFonts w:eastAsia="楷体" w:hint="eastAsia"/>
          <w:sz w:val="24"/>
          <w:szCs w:val="24"/>
        </w:rPr>
        <w:t>亿元进口美洲狼尾草</w:t>
      </w:r>
      <w:r>
        <w:rPr>
          <w:rFonts w:eastAsia="楷体" w:hint="eastAsia"/>
          <w:sz w:val="24"/>
          <w:szCs w:val="24"/>
        </w:rPr>
        <w:t>3.5</w:t>
      </w:r>
      <w:r>
        <w:rPr>
          <w:rFonts w:eastAsia="楷体" w:hint="eastAsia"/>
          <w:sz w:val="24"/>
          <w:szCs w:val="24"/>
        </w:rPr>
        <w:t>万吨，却因适应性不足造成</w:t>
      </w:r>
      <w:r>
        <w:rPr>
          <w:rFonts w:eastAsia="楷体" w:hint="eastAsia"/>
          <w:sz w:val="24"/>
          <w:szCs w:val="24"/>
        </w:rPr>
        <w:t>30%</w:t>
      </w:r>
      <w:r>
        <w:rPr>
          <w:rFonts w:eastAsia="楷体" w:hint="eastAsia"/>
          <w:sz w:val="24"/>
          <w:szCs w:val="24"/>
        </w:rPr>
        <w:t>土地资源闲置</w:t>
      </w:r>
      <w:r>
        <w:rPr>
          <w:rFonts w:eastAsia="楷体" w:hint="eastAsia"/>
          <w:sz w:val="24"/>
          <w:szCs w:val="24"/>
          <w:vertAlign w:val="superscript"/>
        </w:rPr>
        <w:t>[2]</w:t>
      </w:r>
      <w:r>
        <w:rPr>
          <w:rFonts w:eastAsia="楷体" w:hint="eastAsia"/>
          <w:sz w:val="24"/>
          <w:szCs w:val="24"/>
        </w:rPr>
        <w:t>—这种“引种</w:t>
      </w:r>
      <w:r>
        <w:rPr>
          <w:rFonts w:eastAsia="楷体" w:hint="eastAsia"/>
          <w:sz w:val="24"/>
          <w:szCs w:val="24"/>
        </w:rPr>
        <w:t>-</w:t>
      </w:r>
      <w:r>
        <w:rPr>
          <w:rFonts w:eastAsia="楷体" w:hint="eastAsia"/>
          <w:sz w:val="24"/>
          <w:szCs w:val="24"/>
        </w:rPr>
        <w:t>低效</w:t>
      </w:r>
      <w:r>
        <w:rPr>
          <w:rFonts w:eastAsia="楷体" w:hint="eastAsia"/>
          <w:sz w:val="24"/>
          <w:szCs w:val="24"/>
        </w:rPr>
        <w:t>-</w:t>
      </w:r>
      <w:r>
        <w:rPr>
          <w:rFonts w:eastAsia="楷体" w:hint="eastAsia"/>
          <w:sz w:val="24"/>
          <w:szCs w:val="24"/>
        </w:rPr>
        <w:t>再扩种”的恶性循环，加剧了我国牧草“与粮争地”矛盾。构</w:t>
      </w:r>
      <w:r>
        <w:rPr>
          <w:rFonts w:eastAsia="楷体" w:hint="eastAsia"/>
          <w:sz w:val="24"/>
          <w:szCs w:val="24"/>
        </w:rPr>
        <w:t>建地域适配的牧草育种新体系，培育抗逆高产新品种，已成为突破国家饲草供给瓶颈，筑牢粮食安全防线的战略举措。</w:t>
      </w:r>
    </w:p>
    <w:p w14:paraId="00E5ED0A" w14:textId="77777777" w:rsidR="00E85F48" w:rsidRDefault="00DE2CB8">
      <w:pPr>
        <w:spacing w:line="440" w:lineRule="exact"/>
        <w:ind w:firstLineChars="200" w:firstLine="480"/>
        <w:rPr>
          <w:rFonts w:eastAsia="楷体"/>
          <w:sz w:val="24"/>
          <w:szCs w:val="24"/>
        </w:rPr>
      </w:pPr>
      <w:r>
        <w:rPr>
          <w:rFonts w:eastAsia="楷体"/>
          <w:sz w:val="24"/>
          <w:szCs w:val="24"/>
        </w:rPr>
        <w:t>种子</w:t>
      </w:r>
      <w:r>
        <w:rPr>
          <w:rFonts w:eastAsia="楷体" w:hint="eastAsia"/>
          <w:sz w:val="24"/>
          <w:szCs w:val="24"/>
        </w:rPr>
        <w:t>是</w:t>
      </w:r>
      <w:r>
        <w:rPr>
          <w:rFonts w:eastAsia="楷体"/>
          <w:sz w:val="24"/>
          <w:szCs w:val="24"/>
        </w:rPr>
        <w:t>农业的</w:t>
      </w:r>
      <w:r>
        <w:rPr>
          <w:rFonts w:eastAsia="楷体" w:hint="eastAsia"/>
          <w:sz w:val="24"/>
          <w:szCs w:val="24"/>
        </w:rPr>
        <w:t>“</w:t>
      </w:r>
      <w:r>
        <w:rPr>
          <w:rFonts w:eastAsia="楷体"/>
          <w:sz w:val="24"/>
          <w:szCs w:val="24"/>
        </w:rPr>
        <w:t>芯片</w:t>
      </w:r>
      <w:r>
        <w:rPr>
          <w:rFonts w:eastAsia="楷体" w:hint="eastAsia"/>
          <w:sz w:val="24"/>
          <w:szCs w:val="24"/>
        </w:rPr>
        <w:t>”</w:t>
      </w:r>
      <w:r>
        <w:rPr>
          <w:rFonts w:eastAsia="楷体"/>
          <w:sz w:val="24"/>
          <w:szCs w:val="24"/>
        </w:rPr>
        <w:t>，是保障粮食安全的战略性资源。近年来，我国在牧草种质资源收集与基础研究方面取得一定进展，但目前牧草</w:t>
      </w:r>
      <w:proofErr w:type="gramStart"/>
      <w:r>
        <w:rPr>
          <w:rFonts w:eastAsia="楷体"/>
          <w:sz w:val="24"/>
          <w:szCs w:val="24"/>
        </w:rPr>
        <w:t>育种仍</w:t>
      </w:r>
      <w:proofErr w:type="gramEnd"/>
      <w:r>
        <w:rPr>
          <w:rFonts w:eastAsia="楷体"/>
          <w:sz w:val="24"/>
          <w:szCs w:val="24"/>
        </w:rPr>
        <w:t>主要依赖传统表型选择</w:t>
      </w:r>
      <w:r>
        <w:rPr>
          <w:rFonts w:eastAsia="楷体"/>
          <w:sz w:val="24"/>
          <w:szCs w:val="24"/>
          <w:vertAlign w:val="superscript"/>
        </w:rPr>
        <w:t>[3]</w:t>
      </w:r>
      <w:r>
        <w:rPr>
          <w:rFonts w:eastAsia="楷体" w:hint="eastAsia"/>
          <w:sz w:val="24"/>
          <w:szCs w:val="24"/>
        </w:rPr>
        <w:t>。</w:t>
      </w:r>
      <w:r>
        <w:rPr>
          <w:rFonts w:eastAsia="楷体"/>
          <w:sz w:val="24"/>
          <w:szCs w:val="24"/>
        </w:rPr>
        <w:t>现代分子育种技术的应用不足，导致育成品种在产量、品质和抗逆性等关键性状上难以超越进口品种，制约了我国草业的高质量发展</w:t>
      </w:r>
      <w:r>
        <w:rPr>
          <w:rFonts w:eastAsia="楷体"/>
          <w:sz w:val="24"/>
          <w:szCs w:val="24"/>
          <w:vertAlign w:val="superscript"/>
        </w:rPr>
        <w:t>[4]</w:t>
      </w:r>
      <w:r>
        <w:rPr>
          <w:rFonts w:eastAsia="楷体"/>
          <w:sz w:val="24"/>
          <w:szCs w:val="24"/>
        </w:rPr>
        <w:t>。全基因组关联分析（</w:t>
      </w:r>
      <w:r>
        <w:rPr>
          <w:rFonts w:eastAsia="楷体"/>
          <w:sz w:val="24"/>
          <w:szCs w:val="24"/>
        </w:rPr>
        <w:t>GWAS</w:t>
      </w:r>
      <w:r>
        <w:rPr>
          <w:rFonts w:eastAsia="楷体"/>
          <w:sz w:val="24"/>
          <w:szCs w:val="24"/>
        </w:rPr>
        <w:t>）育种体系，主要依赖自然群体中的遗传变异，难以精准解析低频或远端调控位点对重要农艺性状的影响，导致部分优</w:t>
      </w:r>
      <w:r>
        <w:rPr>
          <w:rFonts w:eastAsia="楷体"/>
          <w:sz w:val="24"/>
          <w:szCs w:val="24"/>
        </w:rPr>
        <w:t>良性状无法有效被育种利用。此外，传统表型测定方法存在数据采集精度低、周期长、成本高的问题</w:t>
      </w:r>
      <w:r>
        <w:rPr>
          <w:rFonts w:eastAsia="楷体" w:hint="eastAsia"/>
          <w:sz w:val="24"/>
          <w:szCs w:val="24"/>
        </w:rPr>
        <w:t>，</w:t>
      </w:r>
      <w:r>
        <w:rPr>
          <w:rFonts w:eastAsia="楷体"/>
          <w:sz w:val="24"/>
          <w:szCs w:val="24"/>
        </w:rPr>
        <w:t>降低了育种效率。</w:t>
      </w:r>
    </w:p>
    <w:p w14:paraId="0FC33748" w14:textId="77777777" w:rsidR="00E85F48" w:rsidRDefault="00DE2CB8">
      <w:pPr>
        <w:spacing w:line="440" w:lineRule="exact"/>
        <w:ind w:firstLineChars="200" w:firstLine="480"/>
        <w:rPr>
          <w:rFonts w:eastAsia="楷体"/>
          <w:sz w:val="24"/>
          <w:szCs w:val="24"/>
        </w:rPr>
      </w:pPr>
      <w:r>
        <w:rPr>
          <w:rFonts w:eastAsia="楷体"/>
          <w:sz w:val="24"/>
          <w:szCs w:val="24"/>
        </w:rPr>
        <w:t>为弥补现有研究不足，本项目受人工智能在解析语言序列长程关联的启发，构建融合基因组选择（</w:t>
      </w:r>
      <w:r>
        <w:rPr>
          <w:rFonts w:eastAsia="楷体"/>
          <w:sz w:val="24"/>
          <w:szCs w:val="24"/>
        </w:rPr>
        <w:t>GS</w:t>
      </w:r>
      <w:r>
        <w:rPr>
          <w:rFonts w:eastAsia="楷体"/>
          <w:sz w:val="24"/>
          <w:szCs w:val="24"/>
        </w:rPr>
        <w:t>）、智能表型组学与机器学习的现代育种体系，突破传统</w:t>
      </w:r>
      <w:r>
        <w:rPr>
          <w:rFonts w:eastAsia="楷体"/>
          <w:sz w:val="24"/>
          <w:szCs w:val="24"/>
        </w:rPr>
        <w:t>GWAS</w:t>
      </w:r>
      <w:r>
        <w:rPr>
          <w:rFonts w:eastAsia="楷体"/>
          <w:sz w:val="24"/>
          <w:szCs w:val="24"/>
        </w:rPr>
        <w:t>的局限，实现从全基因组层面到关键调控网络的精准选育，助力自主培育高产、优质、抗逆牧草新品种，提升草业自主创新能力。依托人工智能驱动的多组学整合分析，深入解析西南牧草远端调控元件的功能及其在精准育种中的作用，挖掘分子设计育种新靶点，推动植物非编码基因组研究范式革新。最终，实现从经验优选</w:t>
      </w:r>
      <w:proofErr w:type="gramStart"/>
      <w:r>
        <w:rPr>
          <w:rFonts w:eastAsia="楷体"/>
          <w:sz w:val="24"/>
          <w:szCs w:val="24"/>
        </w:rPr>
        <w:t>向计算</w:t>
      </w:r>
      <w:proofErr w:type="gramEnd"/>
      <w:r>
        <w:rPr>
          <w:rFonts w:eastAsia="楷体"/>
          <w:sz w:val="24"/>
          <w:szCs w:val="24"/>
        </w:rPr>
        <w:t>优选的转变，加速种质改良进程，筑牢我国畜牧业饲草供应的战略防线。</w:t>
      </w:r>
    </w:p>
    <w:p w14:paraId="4F2C83CC" w14:textId="1F718490" w:rsidR="00E85F48" w:rsidRDefault="00E85F48">
      <w:pPr>
        <w:widowControl/>
        <w:spacing w:line="360" w:lineRule="auto"/>
        <w:ind w:firstLineChars="200" w:firstLine="482"/>
        <w:jc w:val="center"/>
        <w:rPr>
          <w:rFonts w:eastAsiaTheme="minorEastAsia"/>
          <w:b/>
          <w:bCs/>
          <w:sz w:val="24"/>
          <w:szCs w:val="24"/>
        </w:rPr>
      </w:pPr>
    </w:p>
    <w:p w14:paraId="79C908C1" w14:textId="77777777" w:rsidR="00E85F48" w:rsidRDefault="00DE2CB8">
      <w:pPr>
        <w:spacing w:line="360" w:lineRule="auto"/>
        <w:jc w:val="center"/>
        <w:rPr>
          <w:rFonts w:eastAsia="楷体"/>
          <w:sz w:val="24"/>
          <w:szCs w:val="24"/>
        </w:rPr>
      </w:pPr>
      <w:r>
        <w:rPr>
          <w:rFonts w:eastAsia="楷体"/>
          <w:sz w:val="24"/>
          <w:szCs w:val="24"/>
        </w:rPr>
        <w:t>图</w:t>
      </w:r>
      <w:r>
        <w:rPr>
          <w:rFonts w:eastAsia="楷体"/>
          <w:sz w:val="24"/>
          <w:szCs w:val="24"/>
        </w:rPr>
        <w:t>1</w:t>
      </w:r>
      <w:r>
        <w:rPr>
          <w:rFonts w:eastAsia="楷体" w:hint="eastAsia"/>
          <w:sz w:val="24"/>
          <w:szCs w:val="24"/>
        </w:rPr>
        <w:t>.</w:t>
      </w:r>
      <w:r>
        <w:rPr>
          <w:rFonts w:eastAsia="楷体"/>
          <w:sz w:val="24"/>
          <w:szCs w:val="24"/>
        </w:rPr>
        <w:t xml:space="preserve"> </w:t>
      </w:r>
      <w:r>
        <w:rPr>
          <w:rFonts w:eastAsia="楷体"/>
          <w:sz w:val="24"/>
          <w:szCs w:val="24"/>
        </w:rPr>
        <w:t>多组学融合解析牧草远端调控元件及育种应用</w:t>
      </w:r>
    </w:p>
    <w:p w14:paraId="3061BBF7" w14:textId="77777777" w:rsidR="00E85F48" w:rsidRDefault="00DE2CB8">
      <w:pPr>
        <w:spacing w:line="440" w:lineRule="exact"/>
        <w:rPr>
          <w:rFonts w:eastAsia="楷体" w:cs="楷体_GB2312"/>
          <w:b/>
          <w:bCs/>
          <w:color w:val="000000" w:themeColor="text1"/>
          <w:sz w:val="28"/>
          <w:szCs w:val="28"/>
        </w:rPr>
      </w:pPr>
      <w:r>
        <w:rPr>
          <w:rFonts w:eastAsia="楷体" w:cs="楷体_GB2312"/>
          <w:b/>
          <w:bCs/>
          <w:color w:val="000000" w:themeColor="text1"/>
          <w:sz w:val="28"/>
          <w:szCs w:val="28"/>
        </w:rPr>
        <w:t>1.2</w:t>
      </w:r>
      <w:r>
        <w:rPr>
          <w:rFonts w:eastAsia="楷体" w:cs="楷体_GB2312"/>
          <w:b/>
          <w:bCs/>
          <w:color w:val="000000" w:themeColor="text1"/>
          <w:sz w:val="28"/>
          <w:szCs w:val="28"/>
        </w:rPr>
        <w:t>国内外研究现状</w:t>
      </w:r>
    </w:p>
    <w:p w14:paraId="3074C348" w14:textId="77777777" w:rsidR="00E85F48" w:rsidRDefault="00DE2CB8">
      <w:pPr>
        <w:spacing w:line="440" w:lineRule="exact"/>
        <w:rPr>
          <w:rFonts w:eastAsia="楷体" w:cs="楷体_GB2312"/>
          <w:b/>
          <w:bCs/>
          <w:color w:val="000000" w:themeColor="text1"/>
          <w:sz w:val="24"/>
          <w:szCs w:val="24"/>
        </w:rPr>
      </w:pPr>
      <w:r>
        <w:rPr>
          <w:rFonts w:eastAsia="楷体" w:cs="楷体_GB2312"/>
          <w:b/>
          <w:bCs/>
          <w:color w:val="000000" w:themeColor="text1"/>
          <w:sz w:val="24"/>
          <w:szCs w:val="24"/>
        </w:rPr>
        <w:t>1.2.1</w:t>
      </w:r>
      <w:r>
        <w:rPr>
          <w:rFonts w:eastAsia="楷体" w:cs="楷体_GB2312"/>
          <w:b/>
          <w:bCs/>
          <w:color w:val="000000" w:themeColor="text1"/>
          <w:sz w:val="24"/>
          <w:szCs w:val="24"/>
        </w:rPr>
        <w:t>牧草基因组与表观基因组研究进展</w:t>
      </w:r>
    </w:p>
    <w:p w14:paraId="0A745EC0"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1</w:t>
      </w:r>
      <w:r>
        <w:rPr>
          <w:rFonts w:eastAsia="楷体"/>
          <w:sz w:val="24"/>
          <w:szCs w:val="24"/>
        </w:rPr>
        <w:t>）基因组组装与结构变异解析</w:t>
      </w:r>
    </w:p>
    <w:p w14:paraId="2D63AB11" w14:textId="77777777" w:rsidR="00E85F48" w:rsidRDefault="00DE2CB8">
      <w:pPr>
        <w:snapToGrid w:val="0"/>
        <w:spacing w:line="440" w:lineRule="exact"/>
        <w:ind w:firstLineChars="200" w:firstLine="480"/>
        <w:rPr>
          <w:rFonts w:eastAsiaTheme="minorEastAsia"/>
          <w:sz w:val="24"/>
          <w:szCs w:val="24"/>
        </w:rPr>
      </w:pPr>
      <w:r>
        <w:rPr>
          <w:rFonts w:eastAsia="楷体"/>
          <w:sz w:val="24"/>
          <w:szCs w:val="24"/>
        </w:rPr>
        <w:t>近年来</w:t>
      </w:r>
      <w:r>
        <w:rPr>
          <w:rFonts w:eastAsia="楷体"/>
          <w:sz w:val="24"/>
          <w:szCs w:val="24"/>
        </w:rPr>
        <w:t>，高通量测序与染色体级基因组装配技术的快速发展，使得牧草类作物（如紫花苜蓿、鸭</w:t>
      </w:r>
      <w:proofErr w:type="gramStart"/>
      <w:r>
        <w:rPr>
          <w:rFonts w:eastAsia="楷体"/>
          <w:sz w:val="24"/>
          <w:szCs w:val="24"/>
        </w:rPr>
        <w:t>茅</w:t>
      </w:r>
      <w:proofErr w:type="gramEnd"/>
      <w:r>
        <w:rPr>
          <w:rFonts w:eastAsia="楷体"/>
          <w:sz w:val="24"/>
          <w:szCs w:val="24"/>
        </w:rPr>
        <w:t>、柳枝</w:t>
      </w:r>
      <w:proofErr w:type="gramStart"/>
      <w:r>
        <w:rPr>
          <w:rFonts w:eastAsia="楷体"/>
          <w:sz w:val="24"/>
          <w:szCs w:val="24"/>
        </w:rPr>
        <w:t>稷</w:t>
      </w:r>
      <w:proofErr w:type="gramEnd"/>
      <w:r>
        <w:rPr>
          <w:rFonts w:eastAsia="楷体"/>
          <w:sz w:val="24"/>
          <w:szCs w:val="24"/>
        </w:rPr>
        <w:t>等）的基因组解析取得重大突破。紫花苜蓿（</w:t>
      </w:r>
      <w:r>
        <w:rPr>
          <w:rFonts w:eastAsia="楷体"/>
          <w:sz w:val="24"/>
          <w:szCs w:val="24"/>
        </w:rPr>
        <w:t>Medicago sativa</w:t>
      </w:r>
      <w:r>
        <w:rPr>
          <w:rFonts w:eastAsia="楷体"/>
          <w:sz w:val="24"/>
          <w:szCs w:val="24"/>
        </w:rPr>
        <w:t>）作为豆科模式植物，其四倍体基因组的高质量组装揭示了耐</w:t>
      </w:r>
      <w:proofErr w:type="gramStart"/>
      <w:r>
        <w:rPr>
          <w:rFonts w:eastAsia="楷体"/>
          <w:sz w:val="24"/>
          <w:szCs w:val="24"/>
        </w:rPr>
        <w:t>逆相关</w:t>
      </w:r>
      <w:proofErr w:type="gramEnd"/>
      <w:r>
        <w:rPr>
          <w:rFonts w:eastAsia="楷体"/>
          <w:sz w:val="24"/>
          <w:szCs w:val="24"/>
        </w:rPr>
        <w:t>基因（如</w:t>
      </w:r>
      <w:r>
        <w:rPr>
          <w:rFonts w:eastAsia="楷体"/>
          <w:sz w:val="24"/>
          <w:szCs w:val="24"/>
        </w:rPr>
        <w:t>LEA</w:t>
      </w:r>
      <w:r>
        <w:rPr>
          <w:rFonts w:eastAsia="楷体"/>
          <w:sz w:val="24"/>
          <w:szCs w:val="24"/>
        </w:rPr>
        <w:t>蛋白基因和抗氧化酶基因）的扩张机制</w:t>
      </w:r>
      <w:r>
        <w:rPr>
          <w:rFonts w:eastAsia="楷体"/>
          <w:sz w:val="24"/>
          <w:szCs w:val="24"/>
          <w:vertAlign w:val="superscript"/>
        </w:rPr>
        <w:t>[5]</w:t>
      </w:r>
      <w:r>
        <w:rPr>
          <w:rFonts w:eastAsia="楷体"/>
          <w:sz w:val="24"/>
          <w:szCs w:val="24"/>
        </w:rPr>
        <w:t>。禾本科牧草中，鸭</w:t>
      </w:r>
      <w:proofErr w:type="gramStart"/>
      <w:r>
        <w:rPr>
          <w:rFonts w:eastAsia="楷体"/>
          <w:sz w:val="24"/>
          <w:szCs w:val="24"/>
        </w:rPr>
        <w:t>茅</w:t>
      </w:r>
      <w:proofErr w:type="gramEnd"/>
      <w:r>
        <w:rPr>
          <w:rFonts w:eastAsia="楷体"/>
          <w:sz w:val="24"/>
          <w:szCs w:val="24"/>
        </w:rPr>
        <w:t>（</w:t>
      </w:r>
      <w:r>
        <w:rPr>
          <w:rFonts w:eastAsia="楷体"/>
          <w:sz w:val="24"/>
          <w:szCs w:val="24"/>
        </w:rPr>
        <w:t>Dactylis glomerata</w:t>
      </w:r>
      <w:r>
        <w:rPr>
          <w:rFonts w:eastAsia="楷体"/>
          <w:sz w:val="24"/>
          <w:szCs w:val="24"/>
        </w:rPr>
        <w:t>）基因组的发布为解析其耐寒与耐旱分子机制提供了关键参考</w:t>
      </w:r>
      <w:r>
        <w:rPr>
          <w:rFonts w:eastAsia="楷体"/>
          <w:sz w:val="24"/>
          <w:szCs w:val="24"/>
          <w:vertAlign w:val="superscript"/>
        </w:rPr>
        <w:t>[6]</w:t>
      </w:r>
      <w:r>
        <w:rPr>
          <w:rFonts w:eastAsia="楷体"/>
          <w:sz w:val="24"/>
          <w:szCs w:val="24"/>
        </w:rPr>
        <w:t>。然而，目前对牧草远端调控元件（如增强子、沉默子）的系统性研究仍属空白，尤其在染色质三维互作和时空特异性调控网络方面缺乏深</w:t>
      </w:r>
      <w:r>
        <w:rPr>
          <w:rFonts w:eastAsia="楷体"/>
          <w:sz w:val="24"/>
          <w:szCs w:val="24"/>
        </w:rPr>
        <w:t>入探索。</w:t>
      </w:r>
      <w:r>
        <w:rPr>
          <w:rFonts w:eastAsia="楷体"/>
          <w:b/>
          <w:sz w:val="24"/>
          <w:szCs w:val="24"/>
          <w:u w:val="single"/>
        </w:rPr>
        <w:t>申请人所在科研团队构建了全球首个美洲狼尾草图形泛基因组，并鉴定出</w:t>
      </w:r>
      <w:r>
        <w:rPr>
          <w:rFonts w:eastAsia="楷体"/>
          <w:b/>
          <w:sz w:val="24"/>
          <w:szCs w:val="24"/>
          <w:u w:val="single"/>
        </w:rPr>
        <w:t>42.4</w:t>
      </w:r>
      <w:r>
        <w:rPr>
          <w:rFonts w:eastAsia="楷体"/>
          <w:b/>
          <w:sz w:val="24"/>
          <w:szCs w:val="24"/>
          <w:u w:val="single"/>
        </w:rPr>
        <w:t>万个结构变异（</w:t>
      </w:r>
      <w:r>
        <w:rPr>
          <w:rFonts w:eastAsia="楷体"/>
          <w:b/>
          <w:sz w:val="24"/>
          <w:szCs w:val="24"/>
          <w:u w:val="single"/>
        </w:rPr>
        <w:t>SVs</w:t>
      </w:r>
      <w:r>
        <w:rPr>
          <w:rFonts w:eastAsia="楷体"/>
          <w:b/>
          <w:sz w:val="24"/>
          <w:szCs w:val="24"/>
          <w:u w:val="single"/>
        </w:rPr>
        <w:t>），发现耐热相关基因</w:t>
      </w:r>
      <w:r>
        <w:rPr>
          <w:rFonts w:eastAsia="楷体"/>
          <w:b/>
          <w:sz w:val="24"/>
          <w:szCs w:val="24"/>
          <w:u w:val="single"/>
        </w:rPr>
        <w:t>RWP-RK</w:t>
      </w:r>
      <w:r>
        <w:rPr>
          <w:rFonts w:eastAsia="楷体"/>
          <w:b/>
          <w:sz w:val="24"/>
          <w:szCs w:val="24"/>
          <w:u w:val="single"/>
        </w:rPr>
        <w:t>家族的拷贝数变异与高温适应性显著相关，为牧草非编码区功能研究奠定了基础</w:t>
      </w:r>
      <w:r>
        <w:rPr>
          <w:rFonts w:ascii="Times New Roman Regular" w:eastAsiaTheme="minorEastAsia" w:hAnsi="Times New Roman Regular" w:cs="Times New Roman Regular" w:hint="eastAsia"/>
          <w:b/>
          <w:bCs/>
          <w:sz w:val="24"/>
          <w:szCs w:val="24"/>
        </w:rPr>
        <w:t>（</w:t>
      </w:r>
      <w:r>
        <w:rPr>
          <w:rFonts w:ascii="Times New Roman Italic" w:eastAsia="楷体" w:hAnsi="Times New Roman Italic" w:cs="Times New Roman Italic"/>
          <w:i/>
          <w:iCs/>
          <w:color w:val="0070C0"/>
          <w:sz w:val="24"/>
          <w:szCs w:val="24"/>
        </w:rPr>
        <w:t>Nature Genetics</w:t>
      </w:r>
      <w:r>
        <w:rPr>
          <w:rFonts w:ascii="Times New Roman Regular" w:eastAsiaTheme="minorEastAsia" w:hAnsi="Times New Roman Regular" w:cs="Times New Roman Regular"/>
          <w:b/>
          <w:bCs/>
          <w:sz w:val="24"/>
          <w:szCs w:val="24"/>
        </w:rPr>
        <w:t>）。</w:t>
      </w:r>
    </w:p>
    <w:p w14:paraId="63A6714F"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2</w:t>
      </w:r>
      <w:r>
        <w:rPr>
          <w:rFonts w:eastAsia="楷体"/>
          <w:sz w:val="24"/>
          <w:szCs w:val="24"/>
        </w:rPr>
        <w:t>）表观基因组与染色质互作技术应用</w:t>
      </w:r>
    </w:p>
    <w:p w14:paraId="0355BE24" w14:textId="012D8896" w:rsidR="00E85F48" w:rsidRDefault="00DE2CB8">
      <w:pPr>
        <w:spacing w:line="440" w:lineRule="exact"/>
        <w:ind w:firstLineChars="200" w:firstLine="480"/>
        <w:rPr>
          <w:rFonts w:eastAsia="楷体"/>
          <w:sz w:val="24"/>
          <w:szCs w:val="24"/>
        </w:rPr>
      </w:pPr>
      <w:r>
        <w:rPr>
          <w:rFonts w:eastAsia="楷体"/>
          <w:sz w:val="24"/>
          <w:szCs w:val="24"/>
        </w:rPr>
        <w:t>在表观基因组领域，已在主要</w:t>
      </w:r>
      <w:r w:rsidR="007F745A">
        <w:rPr>
          <w:rFonts w:eastAsia="楷体" w:hint="eastAsia"/>
          <w:sz w:val="24"/>
          <w:szCs w:val="24"/>
        </w:rPr>
        <w:t>农</w:t>
      </w:r>
      <w:r>
        <w:rPr>
          <w:rFonts w:eastAsia="楷体"/>
          <w:sz w:val="24"/>
          <w:szCs w:val="24"/>
        </w:rPr>
        <w:t>作物中利用单细胞</w:t>
      </w:r>
      <w:r>
        <w:rPr>
          <w:rFonts w:eastAsia="楷体"/>
          <w:sz w:val="24"/>
          <w:szCs w:val="24"/>
        </w:rPr>
        <w:t>ATAC-seq</w:t>
      </w:r>
      <w:r>
        <w:rPr>
          <w:rFonts w:eastAsia="楷体"/>
          <w:sz w:val="24"/>
          <w:szCs w:val="24"/>
        </w:rPr>
        <w:t>、</w:t>
      </w:r>
      <w:r>
        <w:rPr>
          <w:rFonts w:eastAsia="楷体"/>
          <w:sz w:val="24"/>
          <w:szCs w:val="24"/>
        </w:rPr>
        <w:t>Hi-C</w:t>
      </w:r>
      <w:r>
        <w:rPr>
          <w:rFonts w:eastAsia="楷体"/>
          <w:sz w:val="24"/>
          <w:szCs w:val="24"/>
        </w:rPr>
        <w:t>、</w:t>
      </w:r>
      <w:proofErr w:type="spellStart"/>
      <w:r>
        <w:rPr>
          <w:rFonts w:eastAsia="楷体"/>
          <w:sz w:val="24"/>
          <w:szCs w:val="24"/>
        </w:rPr>
        <w:t>ChIP</w:t>
      </w:r>
      <w:proofErr w:type="spellEnd"/>
      <w:r>
        <w:rPr>
          <w:rFonts w:eastAsia="楷体"/>
          <w:sz w:val="24"/>
          <w:szCs w:val="24"/>
        </w:rPr>
        <w:t>-seq</w:t>
      </w:r>
      <w:r>
        <w:rPr>
          <w:rFonts w:eastAsia="楷体"/>
          <w:sz w:val="24"/>
          <w:szCs w:val="24"/>
        </w:rPr>
        <w:t>等技术，构建了全基因组染色质可及性及拓扑结构图谱。</w:t>
      </w:r>
      <w:r>
        <w:rPr>
          <w:rFonts w:eastAsia="楷体"/>
          <w:sz w:val="24"/>
          <w:szCs w:val="24"/>
        </w:rPr>
        <w:t>Zhang</w:t>
      </w:r>
      <w:r>
        <w:rPr>
          <w:rFonts w:eastAsia="楷体"/>
          <w:sz w:val="24"/>
          <w:szCs w:val="24"/>
        </w:rPr>
        <w:t>等通过</w:t>
      </w:r>
      <w:r>
        <w:rPr>
          <w:rFonts w:eastAsia="楷体"/>
          <w:sz w:val="24"/>
          <w:szCs w:val="24"/>
        </w:rPr>
        <w:t>Hi-C</w:t>
      </w:r>
      <w:r>
        <w:rPr>
          <w:rFonts w:eastAsia="楷体"/>
          <w:sz w:val="24"/>
          <w:szCs w:val="24"/>
        </w:rPr>
        <w:t>技术构建了巨菌草（</w:t>
      </w:r>
      <w:r>
        <w:rPr>
          <w:rFonts w:eastAsia="楷体"/>
          <w:sz w:val="24"/>
          <w:szCs w:val="24"/>
        </w:rPr>
        <w:t xml:space="preserve">Cenchrus </w:t>
      </w:r>
      <w:proofErr w:type="spellStart"/>
      <w:r>
        <w:rPr>
          <w:rFonts w:eastAsia="楷体"/>
          <w:sz w:val="24"/>
          <w:szCs w:val="24"/>
        </w:rPr>
        <w:t>fungigraminus</w:t>
      </w:r>
      <w:proofErr w:type="spellEnd"/>
      <w:r>
        <w:rPr>
          <w:rFonts w:eastAsia="楷体"/>
          <w:sz w:val="24"/>
          <w:szCs w:val="24"/>
        </w:rPr>
        <w:t>）近乎完整的异源四倍体基因组，发现其高光合效率与染色质三维结构动态重塑密切相关，并定位了耐盐碱相关非编码调控元件的空间互作网络</w:t>
      </w:r>
      <w:r>
        <w:rPr>
          <w:rFonts w:eastAsia="楷体"/>
          <w:sz w:val="24"/>
          <w:szCs w:val="24"/>
          <w:vertAlign w:val="superscript"/>
        </w:rPr>
        <w:t>[7]</w:t>
      </w:r>
      <w:r>
        <w:rPr>
          <w:rFonts w:eastAsia="楷体"/>
          <w:sz w:val="24"/>
          <w:szCs w:val="24"/>
        </w:rPr>
        <w:t>；在玉米中</w:t>
      </w:r>
      <w:r>
        <w:rPr>
          <w:rFonts w:eastAsia="楷体"/>
          <w:sz w:val="24"/>
          <w:szCs w:val="24"/>
        </w:rPr>
        <w:t>,</w:t>
      </w:r>
      <w:r>
        <w:rPr>
          <w:rFonts w:eastAsia="楷体"/>
          <w:sz w:val="24"/>
          <w:szCs w:val="24"/>
        </w:rPr>
        <w:t>通过整合表达定量性状基因座（</w:t>
      </w:r>
      <w:r>
        <w:rPr>
          <w:rFonts w:eastAsia="楷体"/>
          <w:sz w:val="24"/>
          <w:szCs w:val="24"/>
        </w:rPr>
        <w:t>EQTL</w:t>
      </w:r>
      <w:r>
        <w:rPr>
          <w:rFonts w:eastAsia="楷体"/>
          <w:sz w:val="24"/>
          <w:szCs w:val="24"/>
        </w:rPr>
        <w:t>）和</w:t>
      </w:r>
      <w:r>
        <w:rPr>
          <w:rFonts w:eastAsia="楷体"/>
          <w:sz w:val="24"/>
          <w:szCs w:val="24"/>
        </w:rPr>
        <w:t>GWAS</w:t>
      </w:r>
      <w:r>
        <w:rPr>
          <w:rFonts w:eastAsia="楷体"/>
          <w:sz w:val="24"/>
          <w:szCs w:val="24"/>
        </w:rPr>
        <w:t>数据，证明了变异调节元件及其靶基因之间的远距离染色质相互作用有助于基因表达，代谢表型和农学性状的变化</w:t>
      </w:r>
      <w:r>
        <w:rPr>
          <w:rFonts w:eastAsia="楷体"/>
          <w:sz w:val="24"/>
          <w:szCs w:val="24"/>
          <w:vertAlign w:val="superscript"/>
        </w:rPr>
        <w:t>[8]</w:t>
      </w:r>
      <w:r>
        <w:rPr>
          <w:rFonts w:eastAsia="楷体"/>
          <w:sz w:val="24"/>
          <w:szCs w:val="24"/>
        </w:rPr>
        <w:t>。</w:t>
      </w:r>
    </w:p>
    <w:p w14:paraId="0B6C27C6" w14:textId="767C73C0" w:rsidR="00E85F48" w:rsidRDefault="00E85F48">
      <w:pPr>
        <w:spacing w:line="360" w:lineRule="auto"/>
        <w:jc w:val="center"/>
        <w:rPr>
          <w:rFonts w:eastAsiaTheme="minorEastAsia"/>
          <w:b/>
          <w:bCs/>
          <w:sz w:val="24"/>
          <w:szCs w:val="24"/>
        </w:rPr>
      </w:pPr>
    </w:p>
    <w:p w14:paraId="4F3E8F5A" w14:textId="77777777" w:rsidR="00E85F48" w:rsidRDefault="00DE2CB8">
      <w:pPr>
        <w:spacing w:line="360" w:lineRule="auto"/>
        <w:jc w:val="center"/>
        <w:rPr>
          <w:rFonts w:eastAsia="楷体"/>
          <w:sz w:val="24"/>
          <w:szCs w:val="24"/>
        </w:rPr>
      </w:pPr>
      <w:r>
        <w:rPr>
          <w:rFonts w:eastAsia="楷体"/>
          <w:sz w:val="24"/>
          <w:szCs w:val="24"/>
        </w:rPr>
        <w:t>图</w:t>
      </w:r>
      <w:r>
        <w:rPr>
          <w:rFonts w:eastAsia="楷体"/>
          <w:sz w:val="24"/>
          <w:szCs w:val="24"/>
        </w:rPr>
        <w:t>2</w:t>
      </w:r>
      <w:r>
        <w:rPr>
          <w:rFonts w:eastAsia="楷体" w:hint="eastAsia"/>
          <w:sz w:val="24"/>
          <w:szCs w:val="24"/>
        </w:rPr>
        <w:t>.</w:t>
      </w:r>
      <w:r>
        <w:rPr>
          <w:rFonts w:eastAsia="楷体"/>
          <w:sz w:val="24"/>
          <w:szCs w:val="24"/>
        </w:rPr>
        <w:t xml:space="preserve"> </w:t>
      </w:r>
      <w:r>
        <w:rPr>
          <w:rFonts w:eastAsia="楷体"/>
          <w:sz w:val="24"/>
          <w:szCs w:val="24"/>
        </w:rPr>
        <w:t>基因表达的表观调控</w:t>
      </w:r>
    </w:p>
    <w:p w14:paraId="2E0E40EB" w14:textId="77777777" w:rsidR="00E85F48" w:rsidRDefault="00DE2CB8">
      <w:pPr>
        <w:spacing w:line="440" w:lineRule="exact"/>
        <w:ind w:firstLineChars="200" w:firstLine="480"/>
        <w:rPr>
          <w:rFonts w:eastAsia="楷体"/>
          <w:sz w:val="24"/>
          <w:szCs w:val="24"/>
        </w:rPr>
      </w:pPr>
      <w:r>
        <w:rPr>
          <w:rFonts w:eastAsia="楷体"/>
          <w:sz w:val="24"/>
          <w:szCs w:val="24"/>
        </w:rPr>
        <w:t>但牧草领域类似研究仍处于起步阶段。</w:t>
      </w:r>
      <w:r>
        <w:rPr>
          <w:rFonts w:eastAsia="楷体"/>
          <w:sz w:val="24"/>
          <w:szCs w:val="24"/>
        </w:rPr>
        <w:t>Huang</w:t>
      </w:r>
      <w:r>
        <w:rPr>
          <w:rFonts w:eastAsia="楷体"/>
          <w:sz w:val="24"/>
          <w:szCs w:val="24"/>
        </w:rPr>
        <w:t>等（</w:t>
      </w:r>
      <w:r>
        <w:rPr>
          <w:rFonts w:eastAsia="楷体"/>
          <w:sz w:val="24"/>
          <w:szCs w:val="24"/>
        </w:rPr>
        <w:t>2024</w:t>
      </w:r>
      <w:r>
        <w:rPr>
          <w:rFonts w:eastAsia="楷体"/>
          <w:sz w:val="24"/>
          <w:szCs w:val="24"/>
        </w:rPr>
        <w:t>）团队通过整合染色质可及性（</w:t>
      </w:r>
      <w:r>
        <w:rPr>
          <w:rFonts w:eastAsia="楷体"/>
          <w:sz w:val="24"/>
          <w:szCs w:val="24"/>
        </w:rPr>
        <w:t>ATAC-seq</w:t>
      </w:r>
      <w:r>
        <w:rPr>
          <w:rFonts w:eastAsia="楷体"/>
          <w:sz w:val="24"/>
          <w:szCs w:val="24"/>
        </w:rPr>
        <w:t>）和</w:t>
      </w:r>
      <w:r>
        <w:rPr>
          <w:rFonts w:eastAsia="楷体"/>
          <w:sz w:val="24"/>
          <w:szCs w:val="24"/>
        </w:rPr>
        <w:t>DNA</w:t>
      </w:r>
      <w:r>
        <w:rPr>
          <w:rFonts w:eastAsia="楷体"/>
          <w:sz w:val="24"/>
          <w:szCs w:val="24"/>
        </w:rPr>
        <w:t>甲基化（</w:t>
      </w:r>
      <w:r>
        <w:rPr>
          <w:rFonts w:eastAsia="楷体"/>
          <w:sz w:val="24"/>
          <w:szCs w:val="24"/>
        </w:rPr>
        <w:t>BS-seq</w:t>
      </w:r>
      <w:r>
        <w:rPr>
          <w:rFonts w:eastAsia="楷体"/>
          <w:sz w:val="24"/>
          <w:szCs w:val="24"/>
        </w:rPr>
        <w:t>）数据，发现柳枝</w:t>
      </w:r>
      <w:proofErr w:type="gramStart"/>
      <w:r>
        <w:rPr>
          <w:rFonts w:eastAsia="楷体"/>
          <w:sz w:val="24"/>
          <w:szCs w:val="24"/>
        </w:rPr>
        <w:t>稷</w:t>
      </w:r>
      <w:proofErr w:type="gramEnd"/>
      <w:r>
        <w:rPr>
          <w:rFonts w:eastAsia="楷体"/>
          <w:sz w:val="24"/>
          <w:szCs w:val="24"/>
        </w:rPr>
        <w:t>耐旱</w:t>
      </w:r>
      <w:r>
        <w:rPr>
          <w:rFonts w:eastAsia="楷体"/>
          <w:sz w:val="24"/>
          <w:szCs w:val="24"/>
        </w:rPr>
        <w:t>性与关键基因启动子区的低甲基化状态及染色质开放区域动态变化显著相关，但其调控元件的功能</w:t>
      </w:r>
      <w:proofErr w:type="gramStart"/>
      <w:r>
        <w:rPr>
          <w:rFonts w:eastAsia="楷体"/>
          <w:sz w:val="24"/>
          <w:szCs w:val="24"/>
        </w:rPr>
        <w:t>验证仍</w:t>
      </w:r>
      <w:proofErr w:type="gramEnd"/>
      <w:r>
        <w:rPr>
          <w:rFonts w:eastAsia="楷体"/>
          <w:sz w:val="24"/>
          <w:szCs w:val="24"/>
        </w:rPr>
        <w:t>缺乏系统性</w:t>
      </w:r>
      <w:r>
        <w:rPr>
          <w:rFonts w:eastAsia="楷体"/>
          <w:sz w:val="24"/>
          <w:szCs w:val="24"/>
          <w:vertAlign w:val="superscript"/>
        </w:rPr>
        <w:t>[9]</w:t>
      </w:r>
      <w:r>
        <w:rPr>
          <w:rFonts w:eastAsia="楷体"/>
          <w:sz w:val="24"/>
          <w:szCs w:val="24"/>
        </w:rPr>
        <w:t>。国内部分团队在紫花苜蓿中初步探索了组蛋白修饰与再生能力的关联</w:t>
      </w:r>
      <w:r>
        <w:rPr>
          <w:rFonts w:eastAsia="楷体"/>
          <w:sz w:val="24"/>
          <w:szCs w:val="24"/>
          <w:vertAlign w:val="superscript"/>
        </w:rPr>
        <w:t>[10]</w:t>
      </w:r>
      <w:r>
        <w:rPr>
          <w:rFonts w:eastAsia="楷体"/>
          <w:sz w:val="24"/>
          <w:szCs w:val="24"/>
        </w:rPr>
        <w:t>，但整体数据碎片化，缺乏统一的跨物种整合分析平台。</w:t>
      </w:r>
      <w:r>
        <w:rPr>
          <w:rFonts w:eastAsia="楷体"/>
          <w:sz w:val="24"/>
          <w:szCs w:val="24"/>
        </w:rPr>
        <w:t>Jiang</w:t>
      </w:r>
      <w:r>
        <w:rPr>
          <w:rFonts w:eastAsia="楷体"/>
          <w:sz w:val="24"/>
          <w:szCs w:val="24"/>
        </w:rPr>
        <w:t>等（</w:t>
      </w:r>
      <w:r>
        <w:rPr>
          <w:rFonts w:eastAsia="楷体"/>
          <w:sz w:val="24"/>
          <w:szCs w:val="24"/>
        </w:rPr>
        <w:t>2022</w:t>
      </w:r>
      <w:r>
        <w:rPr>
          <w:rFonts w:eastAsia="楷体"/>
          <w:sz w:val="24"/>
          <w:szCs w:val="24"/>
        </w:rPr>
        <w:t>）在苜蓿中对花期性状进行了精细定位，并结合</w:t>
      </w:r>
      <w:r>
        <w:rPr>
          <w:rFonts w:eastAsia="楷体"/>
          <w:sz w:val="24"/>
          <w:szCs w:val="24"/>
        </w:rPr>
        <w:t>RNA-Seq</w:t>
      </w:r>
      <w:r>
        <w:rPr>
          <w:rFonts w:eastAsia="楷体"/>
          <w:sz w:val="24"/>
          <w:szCs w:val="24"/>
        </w:rPr>
        <w:t>筛选候选基因，</w:t>
      </w:r>
      <w:r>
        <w:rPr>
          <w:rFonts w:eastAsia="楷体"/>
          <w:sz w:val="24"/>
          <w:szCs w:val="24"/>
        </w:rPr>
        <w:lastRenderedPageBreak/>
        <w:t>揭示了复杂性状遗传调控的多层次机制</w:t>
      </w:r>
      <w:r>
        <w:rPr>
          <w:rFonts w:eastAsia="楷体"/>
          <w:sz w:val="24"/>
          <w:szCs w:val="24"/>
          <w:vertAlign w:val="superscript"/>
        </w:rPr>
        <w:t>[11]</w:t>
      </w:r>
      <w:r>
        <w:rPr>
          <w:rFonts w:eastAsia="楷体"/>
          <w:sz w:val="24"/>
          <w:szCs w:val="24"/>
        </w:rPr>
        <w:t>为非编码调控元件功能解析提供了典型案例。此外，表观基因组学研究利用</w:t>
      </w:r>
      <w:r>
        <w:rPr>
          <w:rFonts w:eastAsia="楷体"/>
          <w:sz w:val="24"/>
          <w:szCs w:val="24"/>
        </w:rPr>
        <w:t>DNA</w:t>
      </w:r>
      <w:r>
        <w:rPr>
          <w:rFonts w:eastAsia="楷体"/>
          <w:sz w:val="24"/>
          <w:szCs w:val="24"/>
        </w:rPr>
        <w:t>甲基化、组蛋白修饰和染色质构象捕获技术，逐步揭示了非编码区域对性状调控的重要作</w:t>
      </w:r>
      <w:r>
        <w:rPr>
          <w:rFonts w:eastAsia="楷体"/>
          <w:sz w:val="24"/>
          <w:szCs w:val="24"/>
        </w:rPr>
        <w:t>用，为后续深入解析远端调控元件提供了范式。但针对西南特有牧草的多组学数据则相对缺乏，限制了其优异抗逆性状的分子机制解析。</w:t>
      </w:r>
    </w:p>
    <w:p w14:paraId="73DD4D50" w14:textId="77777777" w:rsidR="00E85F48" w:rsidRDefault="00DE2CB8">
      <w:pPr>
        <w:snapToGrid w:val="0"/>
        <w:spacing w:line="440" w:lineRule="exact"/>
        <w:rPr>
          <w:rFonts w:eastAsia="楷体" w:cs="楷体"/>
          <w:b/>
          <w:sz w:val="24"/>
          <w:szCs w:val="24"/>
        </w:rPr>
      </w:pPr>
      <w:r>
        <w:rPr>
          <w:rFonts w:eastAsia="楷体" w:cs="楷体"/>
          <w:b/>
          <w:sz w:val="24"/>
          <w:szCs w:val="24"/>
        </w:rPr>
        <w:t>1.2.2</w:t>
      </w:r>
      <w:r>
        <w:rPr>
          <w:rFonts w:eastAsia="楷体" w:cs="楷体"/>
          <w:b/>
          <w:sz w:val="24"/>
          <w:szCs w:val="24"/>
        </w:rPr>
        <w:t>人工智能与大数据驱动的牧草基因组学技术革新</w:t>
      </w:r>
    </w:p>
    <w:p w14:paraId="0BEBDD04"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1</w:t>
      </w:r>
      <w:r>
        <w:rPr>
          <w:rFonts w:eastAsia="楷体"/>
          <w:sz w:val="24"/>
          <w:szCs w:val="24"/>
        </w:rPr>
        <w:t>）大模型在基因组序列分析中的应用</w:t>
      </w:r>
    </w:p>
    <w:p w14:paraId="728AAC1B" w14:textId="77777777" w:rsidR="00E85F48" w:rsidRDefault="00DE2CB8">
      <w:pPr>
        <w:spacing w:line="440" w:lineRule="exact"/>
        <w:ind w:firstLineChars="200" w:firstLine="480"/>
        <w:rPr>
          <w:rFonts w:eastAsia="楷体"/>
          <w:sz w:val="24"/>
          <w:szCs w:val="24"/>
        </w:rPr>
      </w:pPr>
      <w:r>
        <w:rPr>
          <w:rFonts w:eastAsia="楷体"/>
          <w:sz w:val="24"/>
          <w:szCs w:val="24"/>
        </w:rPr>
        <w:t>基于</w:t>
      </w:r>
      <w:r>
        <w:rPr>
          <w:rFonts w:eastAsia="楷体"/>
          <w:sz w:val="24"/>
          <w:szCs w:val="24"/>
        </w:rPr>
        <w:t>Transformer</w:t>
      </w:r>
      <w:r>
        <w:rPr>
          <w:rFonts w:eastAsia="楷体"/>
          <w:sz w:val="24"/>
          <w:szCs w:val="24"/>
        </w:rPr>
        <w:t>架构的</w:t>
      </w:r>
      <w:proofErr w:type="gramStart"/>
      <w:r>
        <w:rPr>
          <w:rFonts w:eastAsia="楷体"/>
          <w:sz w:val="24"/>
          <w:szCs w:val="24"/>
        </w:rPr>
        <w:t>预训练</w:t>
      </w:r>
      <w:proofErr w:type="gramEnd"/>
      <w:r>
        <w:rPr>
          <w:rFonts w:eastAsia="楷体"/>
          <w:sz w:val="24"/>
          <w:szCs w:val="24"/>
        </w:rPr>
        <w:t>模型（如</w:t>
      </w:r>
      <w:r>
        <w:rPr>
          <w:rFonts w:eastAsia="楷体"/>
          <w:sz w:val="24"/>
          <w:szCs w:val="24"/>
        </w:rPr>
        <w:t>DNABERT</w:t>
      </w:r>
      <w:r>
        <w:rPr>
          <w:rFonts w:eastAsia="楷体"/>
          <w:sz w:val="24"/>
          <w:szCs w:val="24"/>
        </w:rPr>
        <w:t>、</w:t>
      </w:r>
      <w:proofErr w:type="spellStart"/>
      <w:r>
        <w:rPr>
          <w:rFonts w:eastAsia="楷体"/>
          <w:sz w:val="24"/>
          <w:szCs w:val="24"/>
        </w:rPr>
        <w:t>GenomePTM</w:t>
      </w:r>
      <w:proofErr w:type="spellEnd"/>
      <w:r>
        <w:rPr>
          <w:rFonts w:eastAsia="楷体"/>
          <w:sz w:val="24"/>
          <w:szCs w:val="24"/>
        </w:rPr>
        <w:t>）在基因组学领域展现出强大潜力。</w:t>
      </w:r>
      <w:r>
        <w:rPr>
          <w:rFonts w:eastAsia="楷体"/>
          <w:sz w:val="24"/>
          <w:szCs w:val="24"/>
        </w:rPr>
        <w:t>DNABERT</w:t>
      </w:r>
      <w:r>
        <w:rPr>
          <w:rFonts w:eastAsia="楷体"/>
          <w:sz w:val="24"/>
          <w:szCs w:val="24"/>
        </w:rPr>
        <w:t>通过</w:t>
      </w:r>
      <w:proofErr w:type="gramStart"/>
      <w:r>
        <w:rPr>
          <w:rFonts w:eastAsia="楷体"/>
          <w:sz w:val="24"/>
          <w:szCs w:val="24"/>
        </w:rPr>
        <w:t>预训练</w:t>
      </w:r>
      <w:proofErr w:type="gramEnd"/>
      <w:r>
        <w:rPr>
          <w:rFonts w:eastAsia="楷体"/>
          <w:sz w:val="24"/>
          <w:szCs w:val="24"/>
        </w:rPr>
        <w:t>DNA</w:t>
      </w:r>
      <w:r>
        <w:rPr>
          <w:rFonts w:eastAsia="楷体"/>
          <w:sz w:val="24"/>
          <w:szCs w:val="24"/>
        </w:rPr>
        <w:t>序列的上下文信息，可准确识别人类和小麦基因组中的增强子与启动子区域</w:t>
      </w:r>
      <w:r>
        <w:rPr>
          <w:rFonts w:eastAsia="楷体"/>
          <w:sz w:val="24"/>
          <w:szCs w:val="24"/>
          <w:vertAlign w:val="superscript"/>
        </w:rPr>
        <w:t>[12]</w:t>
      </w:r>
      <w:r>
        <w:rPr>
          <w:rFonts w:eastAsia="楷体" w:hint="eastAsia"/>
          <w:sz w:val="24"/>
          <w:szCs w:val="24"/>
        </w:rPr>
        <w:t>；</w:t>
      </w:r>
      <w:proofErr w:type="spellStart"/>
      <w:r>
        <w:rPr>
          <w:rFonts w:eastAsia="楷体"/>
          <w:sz w:val="24"/>
          <w:szCs w:val="24"/>
        </w:rPr>
        <w:t>Avsec</w:t>
      </w:r>
      <w:proofErr w:type="spellEnd"/>
      <w:r>
        <w:rPr>
          <w:rFonts w:eastAsia="楷体"/>
          <w:sz w:val="24"/>
          <w:szCs w:val="24"/>
        </w:rPr>
        <w:t xml:space="preserve"> </w:t>
      </w:r>
      <w:r>
        <w:rPr>
          <w:rFonts w:eastAsia="楷体"/>
          <w:sz w:val="24"/>
          <w:szCs w:val="24"/>
        </w:rPr>
        <w:t>等</w:t>
      </w:r>
      <w:r>
        <w:rPr>
          <w:rFonts w:eastAsia="楷体"/>
          <w:sz w:val="24"/>
          <w:szCs w:val="24"/>
        </w:rPr>
        <w:t xml:space="preserve"> (2021)</w:t>
      </w:r>
      <w:r>
        <w:rPr>
          <w:rFonts w:eastAsia="楷体"/>
          <w:sz w:val="24"/>
          <w:szCs w:val="24"/>
        </w:rPr>
        <w:t>所提出的</w:t>
      </w:r>
      <w:proofErr w:type="spellStart"/>
      <w:r>
        <w:rPr>
          <w:rFonts w:eastAsia="楷体"/>
          <w:sz w:val="24"/>
          <w:szCs w:val="24"/>
        </w:rPr>
        <w:t>Enformer</w:t>
      </w:r>
      <w:proofErr w:type="spellEnd"/>
      <w:r>
        <w:rPr>
          <w:rFonts w:eastAsia="楷体"/>
          <w:sz w:val="24"/>
          <w:szCs w:val="24"/>
        </w:rPr>
        <w:t>模型，通过对全基因组序列进行</w:t>
      </w:r>
      <w:r>
        <w:rPr>
          <w:rFonts w:eastAsia="楷体"/>
          <w:sz w:val="24"/>
          <w:szCs w:val="24"/>
        </w:rPr>
        <w:t>建模，实现了基因表达水平的精准预测，验证了长程依赖信息在远端调控元件解析中的关键作用</w:t>
      </w:r>
      <w:r>
        <w:rPr>
          <w:rFonts w:eastAsia="楷体"/>
          <w:sz w:val="24"/>
          <w:szCs w:val="24"/>
          <w:vertAlign w:val="superscript"/>
        </w:rPr>
        <w:t>[13]</w:t>
      </w:r>
      <w:r>
        <w:rPr>
          <w:rFonts w:eastAsia="楷体"/>
          <w:sz w:val="24"/>
          <w:szCs w:val="24"/>
        </w:rPr>
        <w:t>。</w:t>
      </w:r>
      <w:r>
        <w:rPr>
          <w:rFonts w:eastAsia="楷体"/>
          <w:sz w:val="24"/>
          <w:szCs w:val="24"/>
        </w:rPr>
        <w:t>Brown</w:t>
      </w:r>
      <w:r>
        <w:rPr>
          <w:rFonts w:eastAsia="楷体"/>
          <w:sz w:val="24"/>
          <w:szCs w:val="24"/>
        </w:rPr>
        <w:t>等（</w:t>
      </w:r>
      <w:r>
        <w:rPr>
          <w:rFonts w:eastAsia="楷体"/>
          <w:sz w:val="24"/>
          <w:szCs w:val="24"/>
        </w:rPr>
        <w:t>2020</w:t>
      </w:r>
      <w:r>
        <w:rPr>
          <w:rFonts w:eastAsia="楷体"/>
          <w:sz w:val="24"/>
          <w:szCs w:val="24"/>
        </w:rPr>
        <w:t>）大规模</w:t>
      </w:r>
      <w:proofErr w:type="gramStart"/>
      <w:r>
        <w:rPr>
          <w:rFonts w:eastAsia="楷体"/>
          <w:sz w:val="24"/>
          <w:szCs w:val="24"/>
        </w:rPr>
        <w:t>预训练</w:t>
      </w:r>
      <w:proofErr w:type="gramEnd"/>
      <w:r>
        <w:rPr>
          <w:rFonts w:eastAsia="楷体"/>
          <w:sz w:val="24"/>
          <w:szCs w:val="24"/>
        </w:rPr>
        <w:t>模型则在少样本学习和复杂模式识别方面表现卓越，为高维、多组学数据整合与特征提取提供了技术支撑</w:t>
      </w:r>
      <w:r>
        <w:rPr>
          <w:rFonts w:eastAsia="楷体"/>
          <w:sz w:val="24"/>
          <w:szCs w:val="24"/>
          <w:vertAlign w:val="superscript"/>
        </w:rPr>
        <w:t>[14]</w:t>
      </w:r>
      <w:r>
        <w:rPr>
          <w:rFonts w:eastAsia="楷体"/>
          <w:sz w:val="24"/>
          <w:szCs w:val="24"/>
        </w:rPr>
        <w:t>。</w:t>
      </w:r>
      <w:r>
        <w:rPr>
          <w:rFonts w:eastAsia="楷体"/>
          <w:sz w:val="24"/>
          <w:szCs w:val="24"/>
        </w:rPr>
        <w:t>AlphaFold2</w:t>
      </w:r>
      <w:r>
        <w:rPr>
          <w:rFonts w:eastAsia="楷体"/>
          <w:sz w:val="24"/>
          <w:szCs w:val="24"/>
        </w:rPr>
        <w:t>的成功启发了植物三维基因组建模的新思路，但其在牧草中的</w:t>
      </w:r>
      <w:proofErr w:type="gramStart"/>
      <w:r>
        <w:rPr>
          <w:rFonts w:eastAsia="楷体"/>
          <w:sz w:val="24"/>
          <w:szCs w:val="24"/>
        </w:rPr>
        <w:t>应用受</w:t>
      </w:r>
      <w:proofErr w:type="gramEnd"/>
      <w:r>
        <w:rPr>
          <w:rFonts w:eastAsia="楷体"/>
          <w:sz w:val="24"/>
          <w:szCs w:val="24"/>
        </w:rPr>
        <w:t>限于基因组高度重复性和复杂性。比如，柳枝</w:t>
      </w:r>
      <w:proofErr w:type="gramStart"/>
      <w:r>
        <w:rPr>
          <w:rFonts w:eastAsia="楷体"/>
          <w:sz w:val="24"/>
          <w:szCs w:val="24"/>
        </w:rPr>
        <w:t>稷</w:t>
      </w:r>
      <w:proofErr w:type="gramEnd"/>
      <w:r>
        <w:rPr>
          <w:rFonts w:eastAsia="楷体"/>
          <w:sz w:val="24"/>
          <w:szCs w:val="24"/>
        </w:rPr>
        <w:t>基因组中长末端重复序列（</w:t>
      </w:r>
      <w:r>
        <w:rPr>
          <w:rFonts w:eastAsia="楷体"/>
          <w:sz w:val="24"/>
          <w:szCs w:val="24"/>
        </w:rPr>
        <w:t>LTR</w:t>
      </w:r>
      <w:r>
        <w:rPr>
          <w:rFonts w:eastAsia="楷体"/>
          <w:sz w:val="24"/>
          <w:szCs w:val="24"/>
        </w:rPr>
        <w:t>）占比高达</w:t>
      </w:r>
      <w:r>
        <w:rPr>
          <w:rFonts w:eastAsia="楷体"/>
          <w:sz w:val="24"/>
          <w:szCs w:val="24"/>
        </w:rPr>
        <w:t>60%</w:t>
      </w:r>
      <w:r>
        <w:rPr>
          <w:rFonts w:eastAsia="楷体"/>
          <w:sz w:val="24"/>
          <w:szCs w:val="24"/>
        </w:rPr>
        <w:t>，导致传统组装算法误差率升高</w:t>
      </w:r>
      <w:r>
        <w:rPr>
          <w:rFonts w:eastAsia="楷体" w:hint="eastAsia"/>
          <w:sz w:val="24"/>
          <w:szCs w:val="24"/>
        </w:rPr>
        <w:t>，不满足精准育种的需要</w:t>
      </w:r>
      <w:r>
        <w:rPr>
          <w:rFonts w:eastAsia="楷体"/>
          <w:sz w:val="24"/>
          <w:szCs w:val="24"/>
          <w:vertAlign w:val="superscript"/>
        </w:rPr>
        <w:t>[15]</w:t>
      </w:r>
      <w:r>
        <w:rPr>
          <w:rFonts w:eastAsia="楷体"/>
          <w:sz w:val="24"/>
          <w:szCs w:val="24"/>
        </w:rPr>
        <w:t>。</w:t>
      </w:r>
    </w:p>
    <w:p w14:paraId="4CF976DA" w14:textId="71AF8B35" w:rsidR="00E85F48" w:rsidRDefault="00E85F48">
      <w:pPr>
        <w:snapToGrid w:val="0"/>
        <w:spacing w:line="360" w:lineRule="auto"/>
        <w:jc w:val="center"/>
        <w:rPr>
          <w:rFonts w:eastAsiaTheme="minorEastAsia"/>
          <w:sz w:val="24"/>
          <w:szCs w:val="24"/>
        </w:rPr>
      </w:pPr>
    </w:p>
    <w:p w14:paraId="19516A88" w14:textId="77777777" w:rsidR="00E85F48" w:rsidRDefault="00DE2CB8">
      <w:pPr>
        <w:spacing w:line="360" w:lineRule="auto"/>
        <w:jc w:val="center"/>
        <w:rPr>
          <w:rFonts w:eastAsia="楷体"/>
          <w:sz w:val="24"/>
          <w:szCs w:val="24"/>
        </w:rPr>
      </w:pPr>
      <w:r>
        <w:rPr>
          <w:rFonts w:eastAsia="楷体"/>
          <w:sz w:val="24"/>
          <w:szCs w:val="24"/>
        </w:rPr>
        <w:t>图</w:t>
      </w:r>
      <w:r>
        <w:rPr>
          <w:rFonts w:eastAsia="楷体"/>
          <w:sz w:val="24"/>
          <w:szCs w:val="24"/>
        </w:rPr>
        <w:t>3. Transformer</w:t>
      </w:r>
      <w:proofErr w:type="gramStart"/>
      <w:r>
        <w:rPr>
          <w:rFonts w:eastAsia="楷体"/>
          <w:sz w:val="24"/>
          <w:szCs w:val="24"/>
        </w:rPr>
        <w:t>预训练</w:t>
      </w:r>
      <w:proofErr w:type="gramEnd"/>
      <w:r>
        <w:rPr>
          <w:rFonts w:eastAsia="楷体"/>
          <w:sz w:val="24"/>
          <w:szCs w:val="24"/>
        </w:rPr>
        <w:t>模型在基因</w:t>
      </w:r>
      <w:r>
        <w:rPr>
          <w:rFonts w:eastAsia="楷体"/>
          <w:sz w:val="24"/>
          <w:szCs w:val="24"/>
        </w:rPr>
        <w:t>组解析与牧草育种中的应用</w:t>
      </w:r>
    </w:p>
    <w:p w14:paraId="63709502"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2</w:t>
      </w:r>
      <w:r>
        <w:rPr>
          <w:rFonts w:eastAsia="楷体"/>
          <w:sz w:val="24"/>
          <w:szCs w:val="24"/>
        </w:rPr>
        <w:t>）多组学数据整合与</w:t>
      </w:r>
      <w:r>
        <w:rPr>
          <w:rFonts w:eastAsia="楷体"/>
          <w:sz w:val="24"/>
          <w:szCs w:val="24"/>
        </w:rPr>
        <w:t>AI</w:t>
      </w:r>
      <w:r>
        <w:rPr>
          <w:rFonts w:eastAsia="楷体"/>
          <w:sz w:val="24"/>
          <w:szCs w:val="24"/>
        </w:rPr>
        <w:t>模型优化</w:t>
      </w:r>
    </w:p>
    <w:p w14:paraId="71115101" w14:textId="77777777" w:rsidR="00E85F48" w:rsidRDefault="00DE2CB8">
      <w:pPr>
        <w:spacing w:line="440" w:lineRule="exact"/>
        <w:ind w:firstLineChars="200" w:firstLine="480"/>
        <w:rPr>
          <w:rFonts w:eastAsia="楷体"/>
          <w:b/>
          <w:sz w:val="24"/>
          <w:szCs w:val="24"/>
          <w:u w:val="single"/>
        </w:rPr>
      </w:pPr>
      <w:r>
        <w:rPr>
          <w:rFonts w:eastAsia="楷体"/>
          <w:sz w:val="24"/>
          <w:szCs w:val="24"/>
        </w:rPr>
        <w:t>欧盟</w:t>
      </w:r>
      <w:r>
        <w:rPr>
          <w:rFonts w:eastAsia="楷体" w:hint="eastAsia"/>
          <w:sz w:val="24"/>
          <w:szCs w:val="24"/>
        </w:rPr>
        <w:t>“</w:t>
      </w:r>
      <w:r>
        <w:rPr>
          <w:rFonts w:eastAsia="楷体"/>
          <w:sz w:val="24"/>
          <w:szCs w:val="24"/>
        </w:rPr>
        <w:t>Horizon 2020</w:t>
      </w:r>
      <w:r>
        <w:rPr>
          <w:rFonts w:eastAsia="楷体" w:hint="eastAsia"/>
          <w:sz w:val="24"/>
          <w:szCs w:val="24"/>
        </w:rPr>
        <w:t>”</w:t>
      </w:r>
      <w:r>
        <w:rPr>
          <w:rFonts w:eastAsia="楷体"/>
          <w:sz w:val="24"/>
          <w:szCs w:val="24"/>
        </w:rPr>
        <w:t>计划通过</w:t>
      </w:r>
      <w:r>
        <w:rPr>
          <w:rFonts w:eastAsia="楷体"/>
          <w:sz w:val="24"/>
          <w:szCs w:val="24"/>
        </w:rPr>
        <w:t>AI</w:t>
      </w:r>
      <w:r>
        <w:rPr>
          <w:rFonts w:eastAsia="楷体"/>
          <w:sz w:val="24"/>
          <w:szCs w:val="24"/>
        </w:rPr>
        <w:t>驱动的表型组</w:t>
      </w:r>
      <w:r>
        <w:rPr>
          <w:rFonts w:eastAsia="楷体"/>
          <w:sz w:val="24"/>
          <w:szCs w:val="24"/>
        </w:rPr>
        <w:t>-</w:t>
      </w:r>
      <w:r>
        <w:rPr>
          <w:rFonts w:eastAsia="楷体"/>
          <w:sz w:val="24"/>
          <w:szCs w:val="24"/>
        </w:rPr>
        <w:t>基因组联合分析，优化黑麦草的生物量预测模型</w:t>
      </w:r>
      <w:r>
        <w:rPr>
          <w:rFonts w:eastAsia="楷体"/>
          <w:sz w:val="24"/>
          <w:szCs w:val="24"/>
          <w:vertAlign w:val="superscript"/>
        </w:rPr>
        <w:t>[16]</w:t>
      </w:r>
      <w:r>
        <w:rPr>
          <w:rFonts w:eastAsia="楷体"/>
          <w:sz w:val="24"/>
          <w:szCs w:val="24"/>
        </w:rPr>
        <w:t>。华为</w:t>
      </w:r>
      <w:r>
        <w:rPr>
          <w:rFonts w:eastAsia="楷体" w:hint="eastAsia"/>
          <w:sz w:val="24"/>
          <w:szCs w:val="24"/>
        </w:rPr>
        <w:t>“</w:t>
      </w:r>
      <w:r>
        <w:rPr>
          <w:rFonts w:eastAsia="楷体"/>
          <w:sz w:val="24"/>
          <w:szCs w:val="24"/>
        </w:rPr>
        <w:t>盘古</w:t>
      </w:r>
      <w:r>
        <w:rPr>
          <w:rFonts w:eastAsia="楷体" w:hint="eastAsia"/>
          <w:sz w:val="24"/>
          <w:szCs w:val="24"/>
        </w:rPr>
        <w:t>”</w:t>
      </w:r>
      <w:r>
        <w:rPr>
          <w:rFonts w:eastAsia="楷体"/>
          <w:sz w:val="24"/>
          <w:szCs w:val="24"/>
        </w:rPr>
        <w:t>模型在作物基因组预测中取得初步成果，但牧草特异性模型的训练数据不足，其在牧草非编码区调控元件预测中的准确性和适用性仍存在较大提升空间。紫花苜蓿的调控元件</w:t>
      </w:r>
      <w:proofErr w:type="gramStart"/>
      <w:r>
        <w:rPr>
          <w:rFonts w:eastAsia="楷体"/>
          <w:sz w:val="24"/>
          <w:szCs w:val="24"/>
        </w:rPr>
        <w:t>注释仅</w:t>
      </w:r>
      <w:proofErr w:type="gramEnd"/>
      <w:r>
        <w:rPr>
          <w:rFonts w:eastAsia="楷体"/>
          <w:sz w:val="24"/>
          <w:szCs w:val="24"/>
        </w:rPr>
        <w:t>覆盖基因组的</w:t>
      </w:r>
      <w:r>
        <w:rPr>
          <w:rFonts w:eastAsia="楷体"/>
          <w:sz w:val="24"/>
          <w:szCs w:val="24"/>
        </w:rPr>
        <w:t>15%</w:t>
      </w:r>
      <w:r>
        <w:rPr>
          <w:rFonts w:eastAsia="楷体"/>
          <w:sz w:val="24"/>
          <w:szCs w:val="24"/>
        </w:rPr>
        <w:t>，远低于玉米的</w:t>
      </w:r>
      <w:r>
        <w:rPr>
          <w:rFonts w:eastAsia="楷体"/>
          <w:sz w:val="24"/>
          <w:szCs w:val="24"/>
        </w:rPr>
        <w:t>45%</w:t>
      </w:r>
      <w:r>
        <w:rPr>
          <w:rFonts w:eastAsia="楷体"/>
          <w:sz w:val="24"/>
          <w:szCs w:val="24"/>
          <w:vertAlign w:val="superscript"/>
        </w:rPr>
        <w:t>[17]</w:t>
      </w:r>
      <w:r>
        <w:rPr>
          <w:rFonts w:eastAsia="楷体"/>
          <w:sz w:val="24"/>
          <w:szCs w:val="24"/>
        </w:rPr>
        <w:t>。</w:t>
      </w:r>
      <w:r>
        <w:rPr>
          <w:rFonts w:eastAsia="楷体"/>
          <w:b/>
          <w:sz w:val="24"/>
          <w:szCs w:val="24"/>
          <w:u w:val="single"/>
        </w:rPr>
        <w:t>申请人</w:t>
      </w:r>
      <w:r>
        <w:rPr>
          <w:rFonts w:eastAsia="楷体" w:hint="eastAsia"/>
          <w:b/>
          <w:sz w:val="24"/>
          <w:szCs w:val="24"/>
          <w:u w:val="single"/>
        </w:rPr>
        <w:t>所在科研</w:t>
      </w:r>
      <w:r>
        <w:rPr>
          <w:rFonts w:eastAsia="楷体"/>
          <w:b/>
          <w:sz w:val="24"/>
          <w:szCs w:val="24"/>
          <w:u w:val="single"/>
        </w:rPr>
        <w:t>团队已构建能源草多组学数据库，整合了</w:t>
      </w:r>
      <w:r>
        <w:rPr>
          <w:rFonts w:eastAsia="楷体"/>
          <w:b/>
          <w:sz w:val="24"/>
          <w:szCs w:val="24"/>
          <w:u w:val="single"/>
        </w:rPr>
        <w:t>11</w:t>
      </w:r>
      <w:r>
        <w:rPr>
          <w:rFonts w:eastAsia="楷体"/>
          <w:b/>
          <w:sz w:val="24"/>
          <w:szCs w:val="24"/>
          <w:u w:val="single"/>
        </w:rPr>
        <w:t>种牧草的基因组、表观组和</w:t>
      </w:r>
      <w:proofErr w:type="gramStart"/>
      <w:r>
        <w:rPr>
          <w:rFonts w:eastAsia="楷体"/>
          <w:b/>
          <w:sz w:val="24"/>
          <w:szCs w:val="24"/>
          <w:u w:val="single"/>
        </w:rPr>
        <w:t>转录组</w:t>
      </w:r>
      <w:proofErr w:type="gramEnd"/>
      <w:r>
        <w:rPr>
          <w:rFonts w:eastAsia="楷体"/>
          <w:b/>
          <w:sz w:val="24"/>
          <w:szCs w:val="24"/>
          <w:u w:val="single"/>
        </w:rPr>
        <w:t>数据，首次实现了珍珠粟表观基因组图谱的系统注释</w:t>
      </w:r>
      <w:r>
        <w:rPr>
          <w:rFonts w:eastAsia="楷体"/>
          <w:b/>
          <w:sz w:val="24"/>
          <w:szCs w:val="24"/>
          <w:u w:val="single"/>
          <w:vertAlign w:val="superscript"/>
        </w:rPr>
        <w:t>[1</w:t>
      </w:r>
      <w:r>
        <w:rPr>
          <w:rFonts w:eastAsia="楷体" w:hint="eastAsia"/>
          <w:b/>
          <w:sz w:val="24"/>
          <w:szCs w:val="24"/>
          <w:u w:val="single"/>
          <w:vertAlign w:val="superscript"/>
        </w:rPr>
        <w:t>8</w:t>
      </w:r>
      <w:r>
        <w:rPr>
          <w:rFonts w:eastAsia="楷体"/>
          <w:b/>
          <w:sz w:val="24"/>
          <w:szCs w:val="24"/>
          <w:u w:val="single"/>
          <w:vertAlign w:val="superscript"/>
        </w:rPr>
        <w:t>]</w:t>
      </w:r>
      <w:r>
        <w:rPr>
          <w:rFonts w:eastAsia="楷体"/>
          <w:b/>
          <w:sz w:val="24"/>
          <w:szCs w:val="24"/>
          <w:u w:val="single"/>
        </w:rPr>
        <w:t>，为构建牧草特异性大模型提供了重要数据支撑。</w:t>
      </w:r>
    </w:p>
    <w:p w14:paraId="405D870E" w14:textId="77777777" w:rsidR="00E85F48" w:rsidRDefault="00DE2CB8">
      <w:pPr>
        <w:snapToGrid w:val="0"/>
        <w:spacing w:line="440" w:lineRule="exact"/>
        <w:rPr>
          <w:rFonts w:eastAsia="楷体" w:cs="楷体"/>
          <w:b/>
          <w:sz w:val="24"/>
          <w:szCs w:val="24"/>
        </w:rPr>
      </w:pPr>
      <w:r>
        <w:rPr>
          <w:rFonts w:eastAsia="楷体" w:cs="楷体"/>
          <w:b/>
          <w:sz w:val="24"/>
          <w:szCs w:val="24"/>
        </w:rPr>
        <w:t>1.2.3</w:t>
      </w:r>
      <w:r>
        <w:rPr>
          <w:rFonts w:eastAsia="楷体" w:cs="楷体"/>
          <w:b/>
          <w:sz w:val="24"/>
          <w:szCs w:val="24"/>
        </w:rPr>
        <w:t>远端调控元件</w:t>
      </w:r>
      <w:proofErr w:type="gramStart"/>
      <w:r>
        <w:rPr>
          <w:rFonts w:eastAsia="楷体" w:cs="楷体"/>
          <w:b/>
          <w:sz w:val="24"/>
          <w:szCs w:val="24"/>
        </w:rPr>
        <w:t>介</w:t>
      </w:r>
      <w:proofErr w:type="gramEnd"/>
      <w:r>
        <w:rPr>
          <w:rFonts w:eastAsia="楷体" w:cs="楷体"/>
          <w:b/>
          <w:sz w:val="24"/>
          <w:szCs w:val="24"/>
        </w:rPr>
        <w:t>导的精准育种机制探索</w:t>
      </w:r>
    </w:p>
    <w:p w14:paraId="5F12E8F2"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1</w:t>
      </w:r>
      <w:r>
        <w:rPr>
          <w:rFonts w:eastAsia="楷体"/>
          <w:sz w:val="24"/>
          <w:szCs w:val="24"/>
        </w:rPr>
        <w:t>）远端调控元件的功能解析与编辑技术</w:t>
      </w:r>
    </w:p>
    <w:p w14:paraId="737F62FA" w14:textId="77777777" w:rsidR="00E85F48" w:rsidRDefault="00DE2CB8">
      <w:pPr>
        <w:snapToGrid w:val="0"/>
        <w:spacing w:line="440" w:lineRule="exact"/>
        <w:ind w:firstLineChars="196" w:firstLine="470"/>
        <w:rPr>
          <w:rFonts w:eastAsia="楷体"/>
          <w:sz w:val="24"/>
          <w:szCs w:val="24"/>
        </w:rPr>
      </w:pPr>
      <w:r>
        <w:rPr>
          <w:rFonts w:eastAsia="楷体"/>
          <w:sz w:val="24"/>
          <w:szCs w:val="24"/>
        </w:rPr>
        <w:t>远端调控元件的功能解析是植物分子育种的前沿方向。</w:t>
      </w:r>
      <w:proofErr w:type="spellStart"/>
      <w:r>
        <w:rPr>
          <w:rFonts w:eastAsia="楷体"/>
          <w:sz w:val="24"/>
          <w:szCs w:val="24"/>
        </w:rPr>
        <w:t>Semagn</w:t>
      </w:r>
      <w:proofErr w:type="spellEnd"/>
      <w:r>
        <w:rPr>
          <w:rFonts w:eastAsia="楷体"/>
          <w:sz w:val="24"/>
          <w:szCs w:val="24"/>
        </w:rPr>
        <w:t>等（</w:t>
      </w:r>
      <w:r>
        <w:rPr>
          <w:rFonts w:eastAsia="楷体"/>
          <w:sz w:val="24"/>
          <w:szCs w:val="24"/>
        </w:rPr>
        <w:t>2022</w:t>
      </w:r>
      <w:r>
        <w:rPr>
          <w:rFonts w:eastAsia="楷体"/>
          <w:sz w:val="24"/>
          <w:szCs w:val="24"/>
        </w:rPr>
        <w:t>）通过基因组选择模型（</w:t>
      </w:r>
      <w:r>
        <w:rPr>
          <w:rFonts w:eastAsia="楷体"/>
          <w:sz w:val="24"/>
          <w:szCs w:val="24"/>
        </w:rPr>
        <w:t>M3</w:t>
      </w:r>
      <w:r>
        <w:rPr>
          <w:rFonts w:eastAsia="楷体"/>
          <w:sz w:val="24"/>
          <w:szCs w:val="24"/>
        </w:rPr>
        <w:t>）结合环境互作效应，成功预测小麦赤霉病抗性相关基因，</w:t>
      </w:r>
      <w:r>
        <w:rPr>
          <w:rFonts w:eastAsia="楷体"/>
          <w:sz w:val="24"/>
          <w:szCs w:val="24"/>
        </w:rPr>
        <w:lastRenderedPageBreak/>
        <w:t>并利用</w:t>
      </w:r>
      <w:r>
        <w:rPr>
          <w:rFonts w:eastAsia="楷体"/>
          <w:sz w:val="24"/>
          <w:szCs w:val="24"/>
        </w:rPr>
        <w:t>CRISPR-Cas9</w:t>
      </w:r>
      <w:r>
        <w:rPr>
          <w:rFonts w:eastAsia="楷体"/>
          <w:sz w:val="24"/>
          <w:szCs w:val="24"/>
        </w:rPr>
        <w:t>编辑增强子区域，将籽粒抗病性提升</w:t>
      </w:r>
      <w:r>
        <w:rPr>
          <w:rFonts w:eastAsia="楷体"/>
          <w:sz w:val="24"/>
          <w:szCs w:val="24"/>
        </w:rPr>
        <w:t>25%</w:t>
      </w:r>
      <w:r>
        <w:rPr>
          <w:rFonts w:eastAsia="楷体"/>
          <w:sz w:val="24"/>
          <w:szCs w:val="24"/>
          <w:vertAlign w:val="superscript"/>
        </w:rPr>
        <w:t>[1</w:t>
      </w:r>
      <w:r>
        <w:rPr>
          <w:rFonts w:eastAsia="楷体" w:hint="eastAsia"/>
          <w:sz w:val="24"/>
          <w:szCs w:val="24"/>
          <w:vertAlign w:val="superscript"/>
        </w:rPr>
        <w:t>9</w:t>
      </w:r>
      <w:r>
        <w:rPr>
          <w:rFonts w:eastAsia="楷体"/>
          <w:sz w:val="24"/>
          <w:szCs w:val="24"/>
          <w:vertAlign w:val="superscript"/>
        </w:rPr>
        <w:t>]</w:t>
      </w:r>
      <w:r>
        <w:rPr>
          <w:rFonts w:eastAsia="楷体"/>
          <w:sz w:val="24"/>
          <w:szCs w:val="24"/>
        </w:rPr>
        <w:t>；玉米利用</w:t>
      </w:r>
      <w:r>
        <w:rPr>
          <w:rFonts w:eastAsia="楷体"/>
          <w:sz w:val="24"/>
          <w:szCs w:val="24"/>
        </w:rPr>
        <w:t>Hi-C</w:t>
      </w:r>
      <w:r>
        <w:rPr>
          <w:rFonts w:eastAsia="楷体"/>
          <w:sz w:val="24"/>
          <w:szCs w:val="24"/>
        </w:rPr>
        <w:t>技术鉴定了与耐旱性相关的染色质互作网络，发现远端增强子通过空间折叠激活</w:t>
      </w:r>
      <w:r>
        <w:rPr>
          <w:rFonts w:eastAsia="楷体"/>
          <w:sz w:val="24"/>
          <w:szCs w:val="24"/>
        </w:rPr>
        <w:t>NAC</w:t>
      </w:r>
      <w:r>
        <w:rPr>
          <w:rFonts w:eastAsia="楷体"/>
          <w:sz w:val="24"/>
          <w:szCs w:val="24"/>
        </w:rPr>
        <w:t>转录因子</w:t>
      </w:r>
      <w:r>
        <w:rPr>
          <w:rFonts w:eastAsia="楷体"/>
          <w:sz w:val="24"/>
          <w:szCs w:val="24"/>
          <w:vertAlign w:val="superscript"/>
        </w:rPr>
        <w:t>[19]</w:t>
      </w:r>
      <w:r>
        <w:rPr>
          <w:rFonts w:eastAsia="楷体"/>
          <w:sz w:val="24"/>
          <w:szCs w:val="24"/>
        </w:rPr>
        <w:t>，为精准育种提供了理论依据。然而，牧草领域相关研究仍局限于基因编码区编辑。比如，柳枝</w:t>
      </w:r>
      <w:proofErr w:type="gramStart"/>
      <w:r>
        <w:rPr>
          <w:rFonts w:eastAsia="楷体"/>
          <w:sz w:val="24"/>
          <w:szCs w:val="24"/>
        </w:rPr>
        <w:t>稷</w:t>
      </w:r>
      <w:proofErr w:type="gramEnd"/>
      <w:r>
        <w:rPr>
          <w:rFonts w:eastAsia="楷体"/>
          <w:sz w:val="24"/>
          <w:szCs w:val="24"/>
        </w:rPr>
        <w:t>中</w:t>
      </w:r>
      <w:r>
        <w:rPr>
          <w:rFonts w:eastAsia="楷体"/>
          <w:sz w:val="24"/>
          <w:szCs w:val="24"/>
        </w:rPr>
        <w:t>QTL</w:t>
      </w:r>
      <w:r>
        <w:rPr>
          <w:rFonts w:eastAsia="楷体"/>
          <w:sz w:val="24"/>
          <w:szCs w:val="24"/>
        </w:rPr>
        <w:t>定位揭示了再生活力相关基因的复杂遗传网络</w:t>
      </w:r>
      <w:r>
        <w:rPr>
          <w:rFonts w:eastAsia="楷体"/>
          <w:sz w:val="24"/>
          <w:szCs w:val="24"/>
          <w:vertAlign w:val="superscript"/>
        </w:rPr>
        <w:t>[14]</w:t>
      </w:r>
      <w:r>
        <w:rPr>
          <w:rFonts w:eastAsia="楷体"/>
          <w:sz w:val="24"/>
          <w:szCs w:val="24"/>
        </w:rPr>
        <w:t>，但其上游调控机制尚未阐明。</w:t>
      </w:r>
    </w:p>
    <w:p w14:paraId="79051391"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2</w:t>
      </w:r>
      <w:r>
        <w:rPr>
          <w:rFonts w:eastAsia="楷体"/>
          <w:sz w:val="24"/>
          <w:szCs w:val="24"/>
        </w:rPr>
        <w:t>）三维基因组与表型关联研究</w:t>
      </w:r>
    </w:p>
    <w:p w14:paraId="52CCA087" w14:textId="77777777" w:rsidR="00E85F48" w:rsidRDefault="00DE2CB8">
      <w:pPr>
        <w:snapToGrid w:val="0"/>
        <w:spacing w:line="440" w:lineRule="exact"/>
        <w:ind w:firstLineChars="200" w:firstLine="480"/>
        <w:rPr>
          <w:rFonts w:eastAsiaTheme="minorEastAsia"/>
          <w:b/>
          <w:bCs/>
          <w:sz w:val="24"/>
          <w:szCs w:val="24"/>
        </w:rPr>
      </w:pPr>
      <w:r>
        <w:rPr>
          <w:rFonts w:eastAsia="楷体"/>
          <w:sz w:val="24"/>
          <w:szCs w:val="24"/>
        </w:rPr>
        <w:t>植物性状相关的变异主要分布在非编码区域，其中蕴含的远端调控元件通过染色质三维构象实现对关键基因表达的精细调控，进而影响生长发育和环境适应性。</w:t>
      </w:r>
      <w:r>
        <w:rPr>
          <w:rFonts w:eastAsia="楷体"/>
          <w:sz w:val="24"/>
          <w:szCs w:val="24"/>
        </w:rPr>
        <w:t>Wang</w:t>
      </w:r>
      <w:r>
        <w:rPr>
          <w:rFonts w:eastAsia="楷体"/>
          <w:sz w:val="24"/>
          <w:szCs w:val="24"/>
        </w:rPr>
        <w:t>等（</w:t>
      </w:r>
      <w:r>
        <w:rPr>
          <w:rFonts w:eastAsia="楷体"/>
          <w:sz w:val="24"/>
          <w:szCs w:val="24"/>
        </w:rPr>
        <w:t>2022</w:t>
      </w:r>
      <w:r>
        <w:rPr>
          <w:rFonts w:eastAsia="楷体"/>
          <w:sz w:val="24"/>
          <w:szCs w:val="24"/>
        </w:rPr>
        <w:t>）在紫花苜蓿中利用</w:t>
      </w:r>
      <w:r>
        <w:rPr>
          <w:rFonts w:eastAsia="楷体"/>
          <w:sz w:val="24"/>
          <w:szCs w:val="24"/>
        </w:rPr>
        <w:t>Hi-C</w:t>
      </w:r>
      <w:r>
        <w:rPr>
          <w:rFonts w:eastAsia="楷体"/>
          <w:sz w:val="24"/>
          <w:szCs w:val="24"/>
        </w:rPr>
        <w:t>技术揭示了根系发育相关基因的拓</w:t>
      </w:r>
      <w:r>
        <w:rPr>
          <w:rFonts w:eastAsia="楷体"/>
          <w:sz w:val="24"/>
          <w:szCs w:val="24"/>
        </w:rPr>
        <w:t>扑关联域（</w:t>
      </w:r>
      <w:r>
        <w:rPr>
          <w:rFonts w:eastAsia="楷体"/>
          <w:sz w:val="24"/>
          <w:szCs w:val="24"/>
        </w:rPr>
        <w:t>TAD</w:t>
      </w:r>
      <w:r>
        <w:rPr>
          <w:rFonts w:eastAsia="楷体"/>
          <w:sz w:val="24"/>
          <w:szCs w:val="24"/>
        </w:rPr>
        <w:t>）动态变化，并发现干旱胁迫下染色质可及性与耐逆基因的远程调控显著相关</w:t>
      </w:r>
      <w:r>
        <w:rPr>
          <w:rFonts w:eastAsia="楷体"/>
          <w:sz w:val="24"/>
          <w:szCs w:val="24"/>
          <w:vertAlign w:val="superscript"/>
        </w:rPr>
        <w:t>[17]</w:t>
      </w:r>
      <w:r>
        <w:rPr>
          <w:rFonts w:eastAsia="楷体"/>
          <w:sz w:val="24"/>
          <w:szCs w:val="24"/>
        </w:rPr>
        <w:t>。国内团队在羊草中发现，染色质开放区域（</w:t>
      </w:r>
      <w:r>
        <w:rPr>
          <w:rFonts w:eastAsia="楷体"/>
          <w:sz w:val="24"/>
          <w:szCs w:val="24"/>
        </w:rPr>
        <w:t>ATAC-seq</w:t>
      </w:r>
      <w:r>
        <w:rPr>
          <w:rFonts w:eastAsia="楷体"/>
          <w:sz w:val="24"/>
          <w:szCs w:val="24"/>
        </w:rPr>
        <w:t>）与组蛋白</w:t>
      </w:r>
      <w:r>
        <w:rPr>
          <w:rFonts w:eastAsia="楷体"/>
          <w:sz w:val="24"/>
          <w:szCs w:val="24"/>
        </w:rPr>
        <w:t>H3K27ac</w:t>
      </w:r>
      <w:r>
        <w:rPr>
          <w:rFonts w:eastAsia="楷体"/>
          <w:sz w:val="24"/>
          <w:szCs w:val="24"/>
        </w:rPr>
        <w:t>修饰的协同变化驱动耐盐基因的表达</w:t>
      </w:r>
      <w:r>
        <w:rPr>
          <w:rFonts w:eastAsia="楷体"/>
          <w:sz w:val="24"/>
          <w:szCs w:val="24"/>
          <w:vertAlign w:val="superscript"/>
        </w:rPr>
        <w:t>[20]</w:t>
      </w:r>
      <w:r>
        <w:rPr>
          <w:rFonts w:eastAsia="楷体"/>
          <w:sz w:val="24"/>
          <w:szCs w:val="24"/>
        </w:rPr>
        <w:t>。申请人团队发现美洲狼尾草耐热性与组蛋白修饰分布密切相关。</w:t>
      </w:r>
      <w:r>
        <w:rPr>
          <w:rFonts w:eastAsia="楷体"/>
          <w:b/>
          <w:sz w:val="24"/>
          <w:szCs w:val="24"/>
          <w:u w:val="single"/>
        </w:rPr>
        <w:t>但西南牧草的三维基因组研究仍为空白，导致其优异抗逆性状的分子机制难以解析。</w:t>
      </w:r>
    </w:p>
    <w:p w14:paraId="0F3748D1"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3</w:t>
      </w:r>
      <w:r>
        <w:rPr>
          <w:rFonts w:eastAsia="楷体"/>
          <w:sz w:val="24"/>
          <w:szCs w:val="24"/>
        </w:rPr>
        <w:t>）精准育种技术的创新与应用</w:t>
      </w:r>
      <w:r>
        <w:rPr>
          <w:rFonts w:eastAsia="楷体" w:hint="eastAsia"/>
          <w:sz w:val="24"/>
          <w:szCs w:val="24"/>
        </w:rPr>
        <w:tab/>
      </w:r>
    </w:p>
    <w:p w14:paraId="56F1315F" w14:textId="77777777" w:rsidR="00E85F48" w:rsidRDefault="00DE2CB8">
      <w:pPr>
        <w:snapToGrid w:val="0"/>
        <w:spacing w:line="440" w:lineRule="exact"/>
        <w:ind w:firstLineChars="196" w:firstLine="470"/>
        <w:rPr>
          <w:rFonts w:eastAsia="楷体"/>
          <w:b/>
          <w:sz w:val="24"/>
          <w:szCs w:val="24"/>
          <w:u w:val="single"/>
        </w:rPr>
      </w:pPr>
      <w:r>
        <w:rPr>
          <w:rFonts w:eastAsia="楷体"/>
          <w:sz w:val="24"/>
          <w:szCs w:val="24"/>
        </w:rPr>
        <w:t>AI</w:t>
      </w:r>
      <w:r>
        <w:rPr>
          <w:rFonts w:eastAsia="楷体"/>
          <w:sz w:val="24"/>
          <w:szCs w:val="24"/>
        </w:rPr>
        <w:t>与基因编辑的融合加速了</w:t>
      </w:r>
      <w:r>
        <w:rPr>
          <w:rFonts w:eastAsia="楷体" w:hint="eastAsia"/>
          <w:sz w:val="24"/>
          <w:szCs w:val="24"/>
        </w:rPr>
        <w:t>“</w:t>
      </w:r>
      <w:r>
        <w:rPr>
          <w:rFonts w:eastAsia="楷体"/>
          <w:sz w:val="24"/>
          <w:szCs w:val="24"/>
        </w:rPr>
        <w:t>设计育种</w:t>
      </w:r>
      <w:r>
        <w:rPr>
          <w:rFonts w:eastAsia="楷体" w:hint="eastAsia"/>
          <w:sz w:val="24"/>
          <w:szCs w:val="24"/>
        </w:rPr>
        <w:t>”</w:t>
      </w:r>
      <w:r>
        <w:rPr>
          <w:rFonts w:eastAsia="楷体"/>
          <w:sz w:val="24"/>
          <w:szCs w:val="24"/>
        </w:rPr>
        <w:t>进程。</w:t>
      </w:r>
      <w:r>
        <w:rPr>
          <w:rFonts w:eastAsia="楷体"/>
          <w:sz w:val="24"/>
          <w:szCs w:val="24"/>
        </w:rPr>
        <w:t>Yu</w:t>
      </w:r>
      <w:r>
        <w:rPr>
          <w:rFonts w:eastAsia="楷体"/>
          <w:sz w:val="24"/>
          <w:szCs w:val="24"/>
        </w:rPr>
        <w:t>等（</w:t>
      </w:r>
      <w:r>
        <w:rPr>
          <w:rFonts w:eastAsia="楷体"/>
          <w:sz w:val="24"/>
          <w:szCs w:val="24"/>
        </w:rPr>
        <w:t>2025</w:t>
      </w:r>
      <w:r>
        <w:rPr>
          <w:rFonts w:eastAsia="楷体"/>
          <w:sz w:val="24"/>
          <w:szCs w:val="24"/>
        </w:rPr>
        <w:t>）开发的自动化机器学习框架通过整合多组学数据，预测大豆油脂合成通路的关键调控元件，并利用</w:t>
      </w:r>
      <w:r>
        <w:rPr>
          <w:rFonts w:eastAsia="楷体"/>
          <w:sz w:val="24"/>
          <w:szCs w:val="24"/>
        </w:rPr>
        <w:t>Prime Editing</w:t>
      </w:r>
      <w:r>
        <w:rPr>
          <w:rFonts w:eastAsia="楷体"/>
          <w:sz w:val="24"/>
          <w:szCs w:val="24"/>
        </w:rPr>
        <w:t>技术定向优化代谢网络</w:t>
      </w:r>
      <w:r>
        <w:rPr>
          <w:rFonts w:eastAsia="楷体"/>
          <w:sz w:val="24"/>
          <w:szCs w:val="24"/>
          <w:vertAlign w:val="superscript"/>
        </w:rPr>
        <w:t>[21]</w:t>
      </w:r>
      <w:r>
        <w:rPr>
          <w:rFonts w:eastAsia="楷体"/>
          <w:sz w:val="24"/>
          <w:szCs w:val="24"/>
        </w:rPr>
        <w:t>。国内在紫花苜蓿中通过转</w:t>
      </w:r>
      <w:r>
        <w:rPr>
          <w:rFonts w:eastAsia="楷体"/>
          <w:sz w:val="24"/>
          <w:szCs w:val="24"/>
        </w:rPr>
        <w:t>Solyc08g016270</w:t>
      </w:r>
      <w:r>
        <w:rPr>
          <w:rFonts w:eastAsia="楷体"/>
          <w:sz w:val="24"/>
          <w:szCs w:val="24"/>
        </w:rPr>
        <w:t>基因提高了对菟丝子的抗性</w:t>
      </w:r>
      <w:r>
        <w:rPr>
          <w:rFonts w:eastAsia="楷体"/>
          <w:sz w:val="24"/>
          <w:szCs w:val="24"/>
          <w:vertAlign w:val="superscript"/>
        </w:rPr>
        <w:t>[22]</w:t>
      </w:r>
      <w:r>
        <w:rPr>
          <w:rFonts w:eastAsia="楷体"/>
          <w:sz w:val="24"/>
          <w:szCs w:val="24"/>
        </w:rPr>
        <w:t>，但尚未涉及非编码区调控元件的定向改造。</w:t>
      </w:r>
      <w:r>
        <w:rPr>
          <w:rFonts w:eastAsia="楷体"/>
          <w:b/>
          <w:sz w:val="24"/>
          <w:szCs w:val="24"/>
          <w:u w:val="single"/>
        </w:rPr>
        <w:t>亟需利用多组学数据，开发牧草特异性</w:t>
      </w:r>
      <w:r>
        <w:rPr>
          <w:rFonts w:eastAsia="楷体"/>
          <w:b/>
          <w:sz w:val="24"/>
          <w:szCs w:val="24"/>
          <w:u w:val="single"/>
        </w:rPr>
        <w:t>CRISPR</w:t>
      </w:r>
      <w:r>
        <w:rPr>
          <w:rFonts w:eastAsia="楷体"/>
          <w:b/>
          <w:sz w:val="24"/>
          <w:szCs w:val="24"/>
          <w:u w:val="single"/>
        </w:rPr>
        <w:t>筛选平台，结合大模型预测，实现远端调控元件的精准编辑与表型调控。</w:t>
      </w:r>
    </w:p>
    <w:p w14:paraId="7DFFF33B" w14:textId="77777777" w:rsidR="00E85F48" w:rsidRDefault="00DE2CB8">
      <w:pPr>
        <w:snapToGrid w:val="0"/>
        <w:spacing w:line="440" w:lineRule="exact"/>
        <w:rPr>
          <w:rFonts w:eastAsia="楷体" w:cs="楷体"/>
          <w:b/>
          <w:sz w:val="24"/>
          <w:szCs w:val="24"/>
        </w:rPr>
      </w:pPr>
      <w:r>
        <w:rPr>
          <w:rFonts w:eastAsia="楷体" w:cs="楷体"/>
          <w:b/>
          <w:sz w:val="24"/>
          <w:szCs w:val="24"/>
        </w:rPr>
        <w:t>1.3</w:t>
      </w:r>
      <w:r>
        <w:rPr>
          <w:rFonts w:eastAsia="楷体" w:cs="楷体"/>
          <w:b/>
          <w:sz w:val="24"/>
          <w:szCs w:val="24"/>
        </w:rPr>
        <w:t>拟解决的关键科技问题及应用前景</w:t>
      </w:r>
    </w:p>
    <w:p w14:paraId="5F2329F3" w14:textId="77777777" w:rsidR="00E85F48" w:rsidRDefault="00DE2CB8">
      <w:pPr>
        <w:spacing w:line="440" w:lineRule="exact"/>
        <w:ind w:firstLine="420"/>
        <w:rPr>
          <w:rFonts w:eastAsia="楷体"/>
          <w:sz w:val="24"/>
          <w:szCs w:val="24"/>
        </w:rPr>
      </w:pPr>
      <w:r>
        <w:rPr>
          <w:rFonts w:eastAsia="楷体"/>
          <w:sz w:val="24"/>
          <w:szCs w:val="24"/>
        </w:rPr>
        <w:t>本项目围绕西南牧草远端调控元件</w:t>
      </w:r>
      <w:proofErr w:type="gramStart"/>
      <w:r>
        <w:rPr>
          <w:rFonts w:eastAsia="楷体"/>
          <w:sz w:val="24"/>
          <w:szCs w:val="24"/>
        </w:rPr>
        <w:t>介</w:t>
      </w:r>
      <w:proofErr w:type="gramEnd"/>
      <w:r>
        <w:rPr>
          <w:rFonts w:eastAsia="楷体"/>
          <w:sz w:val="24"/>
          <w:szCs w:val="24"/>
        </w:rPr>
        <w:t>导精准育种机制，拟解决以下关键科学问题：（</w:t>
      </w:r>
      <w:r>
        <w:rPr>
          <w:rFonts w:eastAsia="楷体"/>
          <w:sz w:val="24"/>
          <w:szCs w:val="24"/>
        </w:rPr>
        <w:t>1</w:t>
      </w:r>
      <w:r>
        <w:rPr>
          <w:rFonts w:eastAsia="楷体"/>
          <w:sz w:val="24"/>
          <w:szCs w:val="24"/>
        </w:rPr>
        <w:t>）如何精准识别牧草基</w:t>
      </w:r>
      <w:r>
        <w:rPr>
          <w:rFonts w:eastAsia="楷体"/>
          <w:sz w:val="24"/>
          <w:szCs w:val="24"/>
        </w:rPr>
        <w:t>因组中的远端调控元件及其靶基因，揭示其调控网络和作用机制？（</w:t>
      </w:r>
      <w:r>
        <w:rPr>
          <w:rFonts w:eastAsia="楷体"/>
          <w:sz w:val="24"/>
          <w:szCs w:val="24"/>
        </w:rPr>
        <w:t>2</w:t>
      </w:r>
      <w:r>
        <w:rPr>
          <w:rFonts w:eastAsia="楷体"/>
          <w:sz w:val="24"/>
          <w:szCs w:val="24"/>
        </w:rPr>
        <w:t>）如何基于远端调控元件的功能解析，构建智能预测模型与精准育种体系，实现牧草重要性状的精准调控</w:t>
      </w:r>
      <w:r>
        <w:rPr>
          <w:rFonts w:eastAsia="楷体" w:hint="eastAsia"/>
          <w:sz w:val="24"/>
          <w:szCs w:val="24"/>
        </w:rPr>
        <w:t>？</w:t>
      </w:r>
      <w:r>
        <w:rPr>
          <w:rFonts w:eastAsia="楷体"/>
          <w:sz w:val="24"/>
          <w:szCs w:val="24"/>
        </w:rPr>
        <w:t>本项目通过构建</w:t>
      </w:r>
      <w:r>
        <w:rPr>
          <w:rFonts w:eastAsia="楷体" w:hint="eastAsia"/>
          <w:b/>
          <w:sz w:val="24"/>
          <w:szCs w:val="24"/>
          <w:u w:val="single"/>
        </w:rPr>
        <w:t>“</w:t>
      </w:r>
      <w:r>
        <w:rPr>
          <w:rFonts w:eastAsia="楷体"/>
          <w:b/>
          <w:sz w:val="24"/>
          <w:szCs w:val="24"/>
          <w:u w:val="single"/>
        </w:rPr>
        <w:t>数据</w:t>
      </w:r>
      <w:r>
        <w:rPr>
          <w:rFonts w:eastAsia="楷体"/>
          <w:b/>
          <w:sz w:val="24"/>
          <w:szCs w:val="24"/>
          <w:u w:val="single"/>
        </w:rPr>
        <w:t>—</w:t>
      </w:r>
      <w:r>
        <w:rPr>
          <w:rFonts w:eastAsia="楷体"/>
          <w:b/>
          <w:sz w:val="24"/>
          <w:szCs w:val="24"/>
          <w:u w:val="single"/>
        </w:rPr>
        <w:t>机制</w:t>
      </w:r>
      <w:r>
        <w:rPr>
          <w:rFonts w:eastAsia="楷体"/>
          <w:b/>
          <w:sz w:val="24"/>
          <w:szCs w:val="24"/>
          <w:u w:val="single"/>
        </w:rPr>
        <w:t>—</w:t>
      </w:r>
      <w:r>
        <w:rPr>
          <w:rFonts w:eastAsia="楷体"/>
          <w:b/>
          <w:sz w:val="24"/>
          <w:szCs w:val="24"/>
          <w:u w:val="single"/>
        </w:rPr>
        <w:t>模型</w:t>
      </w:r>
      <w:r>
        <w:rPr>
          <w:rFonts w:eastAsia="楷体" w:hint="eastAsia"/>
          <w:b/>
          <w:sz w:val="24"/>
          <w:szCs w:val="24"/>
          <w:u w:val="single"/>
        </w:rPr>
        <w:t>”</w:t>
      </w:r>
      <w:r>
        <w:rPr>
          <w:rFonts w:eastAsia="楷体"/>
          <w:b/>
          <w:sz w:val="24"/>
          <w:szCs w:val="24"/>
          <w:u w:val="single"/>
        </w:rPr>
        <w:t>全链条平台</w:t>
      </w:r>
      <w:r>
        <w:rPr>
          <w:rFonts w:ascii="Times New Roman Regular" w:eastAsiaTheme="minorEastAsia" w:hAnsi="Times New Roman Regular" w:cs="Times New Roman Regular"/>
          <w:sz w:val="24"/>
          <w:szCs w:val="24"/>
        </w:rPr>
        <w:t>，</w:t>
      </w:r>
      <w:r>
        <w:rPr>
          <w:rFonts w:eastAsia="楷体"/>
          <w:sz w:val="24"/>
          <w:szCs w:val="24"/>
        </w:rPr>
        <w:t>将显著提高牧草抗逆与高产性状调控网络的解析水平，为精准育种提供理论依据和数据支撑；基于大模型的智能预测与基因编辑技术有望实现</w:t>
      </w:r>
      <w:r>
        <w:rPr>
          <w:rFonts w:eastAsia="楷体"/>
          <w:b/>
          <w:sz w:val="24"/>
          <w:szCs w:val="24"/>
          <w:u w:val="single"/>
        </w:rPr>
        <w:t>从分子设计到品种改良的快速转化</w:t>
      </w:r>
      <w:r>
        <w:rPr>
          <w:rFonts w:ascii="Times New Roman Regular" w:eastAsiaTheme="minorEastAsia" w:hAnsi="Times New Roman Regular" w:cs="Times New Roman Regular"/>
          <w:sz w:val="24"/>
          <w:szCs w:val="24"/>
        </w:rPr>
        <w:t>，</w:t>
      </w:r>
      <w:r>
        <w:rPr>
          <w:rFonts w:eastAsia="楷体"/>
          <w:sz w:val="24"/>
          <w:szCs w:val="24"/>
        </w:rPr>
        <w:t>加速本土优良牧草新品种的培育，降低对进口种子的依赖；项目成果的推广将推动牧草育种从</w:t>
      </w:r>
      <w:r>
        <w:rPr>
          <w:rFonts w:eastAsia="楷体"/>
          <w:b/>
          <w:sz w:val="24"/>
          <w:szCs w:val="24"/>
          <w:u w:val="single"/>
        </w:rPr>
        <w:t>传统经验优选向数据驱动、模型引导的转变</w:t>
      </w:r>
      <w:r>
        <w:rPr>
          <w:rFonts w:ascii="Times New Roman Regular" w:eastAsiaTheme="minorEastAsia" w:hAnsi="Times New Roman Regular" w:cs="Times New Roman Regular"/>
          <w:sz w:val="24"/>
          <w:szCs w:val="24"/>
        </w:rPr>
        <w:t>，</w:t>
      </w:r>
      <w:r>
        <w:rPr>
          <w:rFonts w:eastAsia="楷体"/>
          <w:sz w:val="24"/>
          <w:szCs w:val="24"/>
        </w:rPr>
        <w:t>为国家粮食安全和生态安全提供坚实</w:t>
      </w:r>
      <w:r>
        <w:rPr>
          <w:rFonts w:eastAsia="楷体"/>
          <w:sz w:val="24"/>
          <w:szCs w:val="24"/>
        </w:rPr>
        <w:t>的科技支撑，同时为其他作物精准育种提</w:t>
      </w:r>
      <w:r>
        <w:rPr>
          <w:rFonts w:eastAsia="楷体"/>
          <w:sz w:val="24"/>
          <w:szCs w:val="24"/>
        </w:rPr>
        <w:lastRenderedPageBreak/>
        <w:t>供技术范式和理论借鉴。</w:t>
      </w:r>
    </w:p>
    <w:p w14:paraId="630D3182" w14:textId="77777777" w:rsidR="00E85F48" w:rsidRDefault="00DE2CB8">
      <w:pPr>
        <w:snapToGrid w:val="0"/>
        <w:spacing w:line="440" w:lineRule="exact"/>
        <w:rPr>
          <w:rFonts w:eastAsia="楷体" w:cs="楷体"/>
          <w:b/>
          <w:kern w:val="0"/>
          <w:sz w:val="24"/>
          <w:szCs w:val="24"/>
        </w:rPr>
      </w:pPr>
      <w:r>
        <w:rPr>
          <w:rFonts w:eastAsia="楷体" w:cs="楷体"/>
          <w:b/>
          <w:kern w:val="0"/>
          <w:sz w:val="24"/>
          <w:szCs w:val="24"/>
        </w:rPr>
        <w:t>参考文献：</w:t>
      </w:r>
    </w:p>
    <w:p w14:paraId="0C312717" w14:textId="77777777" w:rsidR="00E85F48" w:rsidRDefault="00DE2CB8">
      <w:pPr>
        <w:numPr>
          <w:ilvl w:val="0"/>
          <w:numId w:val="1"/>
        </w:numPr>
        <w:snapToGrid w:val="0"/>
        <w:spacing w:line="360" w:lineRule="auto"/>
        <w:ind w:firstLineChars="200" w:firstLine="400"/>
        <w:rPr>
          <w:rFonts w:ascii="楷体" w:eastAsia="楷体" w:hAnsi="楷体" w:cs="楷体"/>
          <w:sz w:val="20"/>
          <w:szCs w:val="20"/>
        </w:rPr>
      </w:pPr>
      <w:r>
        <w:rPr>
          <w:rFonts w:ascii="楷体" w:eastAsia="楷体" w:hAnsi="楷体" w:cs="楷体" w:hint="eastAsia"/>
          <w:sz w:val="20"/>
          <w:szCs w:val="20"/>
        </w:rPr>
        <w:t>叶思菁</w:t>
      </w:r>
      <w:r>
        <w:rPr>
          <w:rFonts w:ascii="楷体" w:eastAsia="楷体" w:hAnsi="楷体" w:cs="楷体" w:hint="eastAsia"/>
          <w:sz w:val="20"/>
          <w:szCs w:val="20"/>
        </w:rPr>
        <w:t xml:space="preserve">, </w:t>
      </w:r>
      <w:r>
        <w:rPr>
          <w:rFonts w:ascii="楷体" w:eastAsia="楷体" w:hAnsi="楷体" w:cs="楷体" w:hint="eastAsia"/>
          <w:sz w:val="20"/>
          <w:szCs w:val="20"/>
        </w:rPr>
        <w:t>宋长青</w:t>
      </w:r>
      <w:r>
        <w:rPr>
          <w:rFonts w:ascii="楷体" w:eastAsia="楷体" w:hAnsi="楷体" w:cs="楷体" w:hint="eastAsia"/>
          <w:sz w:val="20"/>
          <w:szCs w:val="20"/>
        </w:rPr>
        <w:t xml:space="preserve">, </w:t>
      </w:r>
      <w:r>
        <w:rPr>
          <w:rFonts w:ascii="楷体" w:eastAsia="楷体" w:hAnsi="楷体" w:cs="楷体" w:hint="eastAsia"/>
          <w:sz w:val="20"/>
          <w:szCs w:val="20"/>
        </w:rPr>
        <w:t>程昌秀</w:t>
      </w:r>
      <w:r>
        <w:rPr>
          <w:rFonts w:ascii="楷体" w:eastAsia="楷体" w:hAnsi="楷体" w:cs="楷体" w:hint="eastAsia"/>
          <w:sz w:val="20"/>
          <w:szCs w:val="20"/>
        </w:rPr>
        <w:t xml:space="preserve">, </w:t>
      </w:r>
      <w:r>
        <w:rPr>
          <w:rFonts w:ascii="楷体" w:eastAsia="楷体" w:hAnsi="楷体" w:cs="楷体" w:hint="eastAsia"/>
          <w:sz w:val="20"/>
          <w:szCs w:val="20"/>
        </w:rPr>
        <w:t>高培超</w:t>
      </w:r>
      <w:r>
        <w:rPr>
          <w:rFonts w:ascii="楷体" w:eastAsia="楷体" w:hAnsi="楷体" w:cs="楷体" w:hint="eastAsia"/>
          <w:sz w:val="20"/>
          <w:szCs w:val="20"/>
        </w:rPr>
        <w:t xml:space="preserve">, </w:t>
      </w:r>
      <w:r>
        <w:rPr>
          <w:rFonts w:ascii="楷体" w:eastAsia="楷体" w:hAnsi="楷体" w:cs="楷体" w:hint="eastAsia"/>
          <w:sz w:val="20"/>
          <w:szCs w:val="20"/>
        </w:rPr>
        <w:t>沈石</w:t>
      </w:r>
      <w:r>
        <w:rPr>
          <w:rFonts w:ascii="楷体" w:eastAsia="楷体" w:hAnsi="楷体" w:cs="楷体" w:hint="eastAsia"/>
          <w:sz w:val="20"/>
          <w:szCs w:val="20"/>
        </w:rPr>
        <w:t xml:space="preserve">, </w:t>
      </w:r>
      <w:proofErr w:type="gramStart"/>
      <w:r>
        <w:rPr>
          <w:rFonts w:ascii="楷体" w:eastAsia="楷体" w:hAnsi="楷体" w:cs="楷体" w:hint="eastAsia"/>
          <w:sz w:val="20"/>
          <w:szCs w:val="20"/>
        </w:rPr>
        <w:t>穆望舒</w:t>
      </w:r>
      <w:proofErr w:type="gramEnd"/>
      <w:r>
        <w:rPr>
          <w:rFonts w:ascii="楷体" w:eastAsia="楷体" w:hAnsi="楷体" w:cs="楷体" w:hint="eastAsia"/>
          <w:sz w:val="20"/>
          <w:szCs w:val="20"/>
        </w:rPr>
        <w:t xml:space="preserve">. </w:t>
      </w:r>
      <w:r>
        <w:rPr>
          <w:rFonts w:ascii="楷体" w:eastAsia="楷体" w:hAnsi="楷体" w:cs="楷体" w:hint="eastAsia"/>
          <w:sz w:val="20"/>
          <w:szCs w:val="20"/>
        </w:rPr>
        <w:t>中国耕地资源利用的“五化”态势与治理对策</w:t>
      </w:r>
      <w:r>
        <w:rPr>
          <w:rFonts w:ascii="楷体" w:eastAsia="楷体" w:hAnsi="楷体" w:cs="楷体" w:hint="eastAsia"/>
          <w:sz w:val="20"/>
          <w:szCs w:val="20"/>
        </w:rPr>
        <w:t xml:space="preserve">. </w:t>
      </w:r>
      <w:r>
        <w:rPr>
          <w:rFonts w:ascii="楷体" w:eastAsia="楷体" w:hAnsi="楷体" w:cs="楷体" w:hint="eastAsia"/>
          <w:sz w:val="20"/>
          <w:szCs w:val="20"/>
        </w:rPr>
        <w:t>中国科学院院刊</w:t>
      </w:r>
      <w:r>
        <w:rPr>
          <w:rFonts w:ascii="楷体" w:eastAsia="楷体" w:hAnsi="楷体" w:cs="楷体" w:hint="eastAsia"/>
          <w:sz w:val="20"/>
          <w:szCs w:val="20"/>
        </w:rPr>
        <w:t xml:space="preserve"> </w:t>
      </w:r>
      <w:r>
        <w:rPr>
          <w:rFonts w:eastAsia="楷体"/>
          <w:sz w:val="20"/>
          <w:szCs w:val="20"/>
        </w:rPr>
        <w:t>2023, 38(12):1962-76.</w:t>
      </w:r>
    </w:p>
    <w:p w14:paraId="54B54F2F" w14:textId="77777777" w:rsidR="00E85F48" w:rsidRDefault="00DE2CB8">
      <w:pPr>
        <w:numPr>
          <w:ilvl w:val="0"/>
          <w:numId w:val="1"/>
        </w:numPr>
        <w:snapToGrid w:val="0"/>
        <w:spacing w:line="360" w:lineRule="auto"/>
        <w:ind w:firstLineChars="200" w:firstLine="420"/>
        <w:rPr>
          <w:rFonts w:eastAsiaTheme="minorEastAsia"/>
        </w:rPr>
      </w:pPr>
      <w:proofErr w:type="spellStart"/>
      <w:r>
        <w:rPr>
          <w:rFonts w:eastAsiaTheme="minorEastAsia"/>
        </w:rPr>
        <w:t>Xiaoheng</w:t>
      </w:r>
      <w:proofErr w:type="spellEnd"/>
      <w:r>
        <w:rPr>
          <w:rFonts w:eastAsiaTheme="minorEastAsia" w:hint="eastAsia"/>
        </w:rPr>
        <w:t xml:space="preserve"> </w:t>
      </w:r>
      <w:r>
        <w:rPr>
          <w:rFonts w:eastAsiaTheme="minorEastAsia"/>
        </w:rPr>
        <w:t xml:space="preserve">Xu, </w:t>
      </w:r>
      <w:proofErr w:type="spellStart"/>
      <w:r>
        <w:rPr>
          <w:rFonts w:eastAsiaTheme="minorEastAsia"/>
        </w:rPr>
        <w:t>Yueyang</w:t>
      </w:r>
      <w:proofErr w:type="spellEnd"/>
      <w:r>
        <w:rPr>
          <w:rFonts w:eastAsiaTheme="minorEastAsia" w:hint="eastAsia"/>
        </w:rPr>
        <w:t xml:space="preserve"> </w:t>
      </w:r>
      <w:r>
        <w:rPr>
          <w:rFonts w:eastAsiaTheme="minorEastAsia"/>
        </w:rPr>
        <w:t>Liang,</w:t>
      </w:r>
      <w:r>
        <w:rPr>
          <w:rFonts w:eastAsiaTheme="minorEastAsia" w:hint="eastAsia"/>
        </w:rPr>
        <w:t xml:space="preserve"> </w:t>
      </w:r>
      <w:proofErr w:type="spellStart"/>
      <w:r>
        <w:rPr>
          <w:rFonts w:eastAsiaTheme="minorEastAsia"/>
        </w:rPr>
        <w:t>Guangyan</w:t>
      </w:r>
      <w:proofErr w:type="spellEnd"/>
      <w:r>
        <w:rPr>
          <w:rFonts w:eastAsiaTheme="minorEastAsia" w:hint="eastAsia"/>
        </w:rPr>
        <w:t xml:space="preserve"> </w:t>
      </w:r>
      <w:r>
        <w:rPr>
          <w:rFonts w:eastAsiaTheme="minorEastAsia"/>
        </w:rPr>
        <w:t xml:space="preserve">Feng, </w:t>
      </w:r>
      <w:proofErr w:type="spellStart"/>
      <w:r>
        <w:rPr>
          <w:rFonts w:eastAsiaTheme="minorEastAsia"/>
        </w:rPr>
        <w:t>Shunfeng</w:t>
      </w:r>
      <w:proofErr w:type="spellEnd"/>
      <w:r>
        <w:rPr>
          <w:rFonts w:eastAsiaTheme="minorEastAsia" w:hint="eastAsia"/>
        </w:rPr>
        <w:t xml:space="preserve"> </w:t>
      </w:r>
      <w:r>
        <w:rPr>
          <w:rFonts w:eastAsiaTheme="minorEastAsia"/>
        </w:rPr>
        <w:t>Li, Zhongfu</w:t>
      </w:r>
      <w:r>
        <w:rPr>
          <w:rFonts w:eastAsiaTheme="minorEastAsia" w:hint="eastAsia"/>
        </w:rPr>
        <w:t xml:space="preserve"> </w:t>
      </w:r>
      <w:r>
        <w:rPr>
          <w:rFonts w:eastAsiaTheme="minorEastAsia"/>
        </w:rPr>
        <w:t>Yang, Gang</w:t>
      </w:r>
      <w:r>
        <w:rPr>
          <w:rFonts w:eastAsiaTheme="minorEastAsia" w:hint="eastAsia"/>
        </w:rPr>
        <w:t xml:space="preserve"> </w:t>
      </w:r>
      <w:proofErr w:type="spellStart"/>
      <w:r>
        <w:rPr>
          <w:rFonts w:eastAsiaTheme="minorEastAsia"/>
        </w:rPr>
        <w:t>Nie</w:t>
      </w:r>
      <w:proofErr w:type="spellEnd"/>
      <w:r>
        <w:rPr>
          <w:rFonts w:eastAsiaTheme="minorEastAsia"/>
        </w:rPr>
        <w:t xml:space="preserve">, </w:t>
      </w:r>
      <w:proofErr w:type="spellStart"/>
      <w:r>
        <w:rPr>
          <w:rFonts w:eastAsiaTheme="minorEastAsia"/>
        </w:rPr>
        <w:t>Linkai</w:t>
      </w:r>
      <w:proofErr w:type="spellEnd"/>
      <w:r>
        <w:rPr>
          <w:rFonts w:eastAsiaTheme="minorEastAsia" w:hint="eastAsia"/>
        </w:rPr>
        <w:t xml:space="preserve"> </w:t>
      </w:r>
      <w:r>
        <w:rPr>
          <w:rFonts w:eastAsiaTheme="minorEastAsia"/>
        </w:rPr>
        <w:t xml:space="preserve">Huang, </w:t>
      </w:r>
      <w:proofErr w:type="spellStart"/>
      <w:r>
        <w:rPr>
          <w:rFonts w:eastAsiaTheme="minorEastAsia"/>
        </w:rPr>
        <w:t>Xinquan</w:t>
      </w:r>
      <w:proofErr w:type="spellEnd"/>
      <w:r>
        <w:rPr>
          <w:rFonts w:eastAsiaTheme="minorEastAsia" w:hint="eastAsia"/>
        </w:rPr>
        <w:t xml:space="preserve"> </w:t>
      </w:r>
      <w:r>
        <w:rPr>
          <w:rFonts w:eastAsiaTheme="minorEastAsia"/>
        </w:rPr>
        <w:t xml:space="preserve">Zhang. A favorable natural variation in CCD7 from </w:t>
      </w:r>
      <w:proofErr w:type="spellStart"/>
      <w:r>
        <w:rPr>
          <w:rFonts w:eastAsiaTheme="minorEastAsia"/>
        </w:rPr>
        <w:t>orchardgrass</w:t>
      </w:r>
      <w:proofErr w:type="spellEnd"/>
      <w:r>
        <w:rPr>
          <w:rFonts w:eastAsiaTheme="minorEastAsia"/>
        </w:rPr>
        <w:t xml:space="preserve"> confers enhanced tiller number. The Plant Journal, 202</w:t>
      </w:r>
      <w:r>
        <w:rPr>
          <w:rFonts w:eastAsiaTheme="minorEastAsia" w:hint="eastAsia"/>
        </w:rPr>
        <w:t>5</w:t>
      </w:r>
      <w:r>
        <w:rPr>
          <w:rFonts w:eastAsiaTheme="minorEastAsia"/>
        </w:rPr>
        <w:t xml:space="preserve">, 121(2): </w:t>
      </w:r>
      <w:r>
        <w:rPr>
          <w:rFonts w:eastAsiaTheme="minorEastAsia" w:hint="eastAsia"/>
        </w:rPr>
        <w:t>e</w:t>
      </w:r>
      <w:r>
        <w:rPr>
          <w:rFonts w:eastAsiaTheme="minorEastAsia"/>
        </w:rPr>
        <w:t>17200.</w:t>
      </w:r>
    </w:p>
    <w:p w14:paraId="4AAB8FE5" w14:textId="77777777" w:rsidR="00E85F48" w:rsidRDefault="00DE2CB8">
      <w:pPr>
        <w:numPr>
          <w:ilvl w:val="0"/>
          <w:numId w:val="1"/>
        </w:numPr>
        <w:snapToGrid w:val="0"/>
        <w:spacing w:line="360" w:lineRule="auto"/>
        <w:ind w:firstLineChars="200" w:firstLine="420"/>
        <w:rPr>
          <w:rFonts w:eastAsiaTheme="minorEastAsia"/>
        </w:rPr>
      </w:pPr>
      <w:proofErr w:type="spellStart"/>
      <w:r>
        <w:rPr>
          <w:rFonts w:eastAsiaTheme="minorEastAsia"/>
        </w:rPr>
        <w:t>Jingbo</w:t>
      </w:r>
      <w:proofErr w:type="spellEnd"/>
      <w:r>
        <w:rPr>
          <w:rFonts w:eastAsiaTheme="minorEastAsia"/>
        </w:rPr>
        <w:t xml:space="preserve"> </w:t>
      </w:r>
      <w:proofErr w:type="spellStart"/>
      <w:r>
        <w:rPr>
          <w:rFonts w:eastAsiaTheme="minorEastAsia"/>
        </w:rPr>
        <w:t>Jin</w:t>
      </w:r>
      <w:proofErr w:type="spellEnd"/>
      <w:r>
        <w:rPr>
          <w:rFonts w:eastAsiaTheme="minorEastAsia"/>
        </w:rPr>
        <w:t xml:space="preserve">, Tai Wang, </w:t>
      </w:r>
      <w:proofErr w:type="spellStart"/>
      <w:r>
        <w:rPr>
          <w:rFonts w:eastAsiaTheme="minorEastAsia"/>
        </w:rPr>
        <w:t>Youfa</w:t>
      </w:r>
      <w:proofErr w:type="spellEnd"/>
      <w:r>
        <w:rPr>
          <w:rFonts w:eastAsiaTheme="minorEastAsia"/>
        </w:rPr>
        <w:t xml:space="preserve"> Cheng, Lei Wang, </w:t>
      </w:r>
      <w:proofErr w:type="spellStart"/>
      <w:r>
        <w:rPr>
          <w:rFonts w:eastAsiaTheme="minorEastAsia"/>
        </w:rPr>
        <w:t>Jingyu</w:t>
      </w:r>
      <w:proofErr w:type="spellEnd"/>
      <w:r>
        <w:rPr>
          <w:rFonts w:eastAsiaTheme="minorEastAsia"/>
        </w:rPr>
        <w:t xml:space="preserve"> Zhang, </w:t>
      </w:r>
      <w:proofErr w:type="spellStart"/>
      <w:r>
        <w:rPr>
          <w:rFonts w:eastAsiaTheme="minorEastAsia"/>
        </w:rPr>
        <w:t>Haichun</w:t>
      </w:r>
      <w:proofErr w:type="spellEnd"/>
      <w:r>
        <w:rPr>
          <w:rFonts w:eastAsiaTheme="minorEastAsia"/>
        </w:rPr>
        <w:t xml:space="preserve"> Jing, and Kang Chong. Current situation and prospect </w:t>
      </w:r>
      <w:r>
        <w:rPr>
          <w:rFonts w:eastAsiaTheme="minorEastAsia"/>
        </w:rPr>
        <w:t xml:space="preserve">of forage breeding in China. Bulletin of Chinese Academy of Sciences (Chinese Version), 2021, 36(6): 660-665. </w:t>
      </w:r>
    </w:p>
    <w:p w14:paraId="32BC2B85" w14:textId="77777777" w:rsidR="00E85F48" w:rsidRDefault="00DE2CB8">
      <w:pPr>
        <w:numPr>
          <w:ilvl w:val="0"/>
          <w:numId w:val="1"/>
        </w:numPr>
        <w:snapToGrid w:val="0"/>
        <w:spacing w:line="360" w:lineRule="auto"/>
        <w:ind w:firstLineChars="200" w:firstLine="420"/>
        <w:rPr>
          <w:rFonts w:eastAsiaTheme="minorEastAsia"/>
        </w:rPr>
      </w:pPr>
      <w:proofErr w:type="spellStart"/>
      <w:r>
        <w:rPr>
          <w:rFonts w:eastAsiaTheme="minorEastAsia"/>
        </w:rPr>
        <w:t>Haichun</w:t>
      </w:r>
      <w:proofErr w:type="spellEnd"/>
      <w:r>
        <w:rPr>
          <w:rFonts w:eastAsiaTheme="minorEastAsia"/>
        </w:rPr>
        <w:t xml:space="preserve"> Jing, </w:t>
      </w:r>
      <w:proofErr w:type="spellStart"/>
      <w:r>
        <w:rPr>
          <w:rFonts w:eastAsiaTheme="minorEastAsia"/>
        </w:rPr>
        <w:t>Weijuan</w:t>
      </w:r>
      <w:proofErr w:type="spellEnd"/>
      <w:r>
        <w:rPr>
          <w:rFonts w:eastAsiaTheme="minorEastAsia"/>
        </w:rPr>
        <w:t xml:space="preserve"> Hu, </w:t>
      </w:r>
      <w:proofErr w:type="spellStart"/>
      <w:r>
        <w:rPr>
          <w:rFonts w:eastAsiaTheme="minorEastAsia"/>
        </w:rPr>
        <w:t>Jingbo</w:t>
      </w:r>
      <w:proofErr w:type="spellEnd"/>
      <w:r>
        <w:rPr>
          <w:rFonts w:eastAsiaTheme="minorEastAsia"/>
        </w:rPr>
        <w:t xml:space="preserve"> </w:t>
      </w:r>
      <w:proofErr w:type="spellStart"/>
      <w:r>
        <w:rPr>
          <w:rFonts w:eastAsiaTheme="minorEastAsia"/>
        </w:rPr>
        <w:t>Jin</w:t>
      </w:r>
      <w:proofErr w:type="spellEnd"/>
      <w:r>
        <w:rPr>
          <w:rFonts w:eastAsiaTheme="minorEastAsia"/>
        </w:rPr>
        <w:t xml:space="preserve">, </w:t>
      </w:r>
      <w:proofErr w:type="spellStart"/>
      <w:r>
        <w:rPr>
          <w:rFonts w:eastAsiaTheme="minorEastAsia"/>
        </w:rPr>
        <w:t>Jingyu</w:t>
      </w:r>
      <w:proofErr w:type="spellEnd"/>
      <w:r>
        <w:rPr>
          <w:rFonts w:eastAsiaTheme="minorEastAsia"/>
        </w:rPr>
        <w:t xml:space="preserve"> Zhang, Yao Zhou, Yue Gong, Gang Yao, Lei Wang, and Kang Chong. Accelerate innovation of forage intel</w:t>
      </w:r>
      <w:r>
        <w:rPr>
          <w:rFonts w:eastAsiaTheme="minorEastAsia"/>
        </w:rPr>
        <w:t>ligent breeding technology: Reflection and suggestions. Bulletin of Chinese Academy of Sciences (Chinese Version), 2024, 40(2): 310-319.</w:t>
      </w:r>
    </w:p>
    <w:p w14:paraId="77DE534C" w14:textId="77777777" w:rsidR="00E85F48" w:rsidRDefault="00DE2CB8">
      <w:pPr>
        <w:numPr>
          <w:ilvl w:val="0"/>
          <w:numId w:val="1"/>
        </w:numPr>
        <w:snapToGrid w:val="0"/>
        <w:spacing w:line="360" w:lineRule="auto"/>
        <w:ind w:firstLineChars="200" w:firstLine="420"/>
        <w:rPr>
          <w:rFonts w:eastAsiaTheme="minorEastAsia"/>
        </w:rPr>
      </w:pPr>
      <w:r>
        <w:rPr>
          <w:rFonts w:eastAsiaTheme="minorEastAsia" w:hint="eastAsia"/>
        </w:rPr>
        <w:t xml:space="preserve">Haitao Chen, Yan Zeng, </w:t>
      </w:r>
      <w:proofErr w:type="spellStart"/>
      <w:r>
        <w:rPr>
          <w:rFonts w:eastAsiaTheme="minorEastAsia" w:hint="eastAsia"/>
        </w:rPr>
        <w:t>Yongzhi</w:t>
      </w:r>
      <w:proofErr w:type="spellEnd"/>
      <w:r>
        <w:rPr>
          <w:rFonts w:eastAsiaTheme="minorEastAsia" w:hint="eastAsia"/>
        </w:rPr>
        <w:t xml:space="preserve"> Yang, </w:t>
      </w:r>
      <w:proofErr w:type="spellStart"/>
      <w:r>
        <w:rPr>
          <w:rFonts w:eastAsiaTheme="minorEastAsia" w:hint="eastAsia"/>
        </w:rPr>
        <w:t>Lingli</w:t>
      </w:r>
      <w:proofErr w:type="spellEnd"/>
      <w:r>
        <w:rPr>
          <w:rFonts w:eastAsiaTheme="minorEastAsia" w:hint="eastAsia"/>
        </w:rPr>
        <w:t xml:space="preserve"> Huang, Bolin Tang, He Zhang, Fei Hao, Wei Liu, </w:t>
      </w:r>
      <w:proofErr w:type="spellStart"/>
      <w:r>
        <w:rPr>
          <w:rFonts w:eastAsiaTheme="minorEastAsia" w:hint="eastAsia"/>
        </w:rPr>
        <w:t>Youhan</w:t>
      </w:r>
      <w:proofErr w:type="spellEnd"/>
      <w:r>
        <w:rPr>
          <w:rFonts w:eastAsiaTheme="minorEastAsia" w:hint="eastAsia"/>
        </w:rPr>
        <w:t xml:space="preserve"> Li, </w:t>
      </w:r>
      <w:proofErr w:type="spellStart"/>
      <w:r>
        <w:rPr>
          <w:rFonts w:eastAsiaTheme="minorEastAsia" w:hint="eastAsia"/>
        </w:rPr>
        <w:t>Yanbin</w:t>
      </w:r>
      <w:proofErr w:type="spellEnd"/>
      <w:r>
        <w:rPr>
          <w:rFonts w:eastAsiaTheme="minorEastAsia" w:hint="eastAsia"/>
        </w:rPr>
        <w:t xml:space="preserve"> Liu, </w:t>
      </w:r>
      <w:proofErr w:type="spellStart"/>
      <w:r>
        <w:rPr>
          <w:rFonts w:eastAsiaTheme="minorEastAsia" w:hint="eastAsia"/>
        </w:rPr>
        <w:t>Xiaos</w:t>
      </w:r>
      <w:r>
        <w:rPr>
          <w:rFonts w:eastAsiaTheme="minorEastAsia" w:hint="eastAsia"/>
        </w:rPr>
        <w:t>huang</w:t>
      </w:r>
      <w:proofErr w:type="spellEnd"/>
      <w:r>
        <w:rPr>
          <w:rFonts w:eastAsiaTheme="minorEastAsia" w:hint="eastAsia"/>
        </w:rPr>
        <w:t xml:space="preserve"> Zhang, Ru Zhang, </w:t>
      </w:r>
      <w:proofErr w:type="spellStart"/>
      <w:r>
        <w:rPr>
          <w:rFonts w:eastAsiaTheme="minorEastAsia" w:hint="eastAsia"/>
        </w:rPr>
        <w:t>Yesheng</w:t>
      </w:r>
      <w:proofErr w:type="spellEnd"/>
      <w:r>
        <w:rPr>
          <w:rFonts w:eastAsiaTheme="minorEastAsia" w:hint="eastAsia"/>
        </w:rPr>
        <w:t xml:space="preserve"> Zhang, </w:t>
      </w:r>
      <w:proofErr w:type="spellStart"/>
      <w:r>
        <w:rPr>
          <w:rFonts w:eastAsiaTheme="minorEastAsia" w:hint="eastAsia"/>
        </w:rPr>
        <w:t>Yongxin</w:t>
      </w:r>
      <w:proofErr w:type="spellEnd"/>
      <w:r>
        <w:rPr>
          <w:rFonts w:eastAsiaTheme="minorEastAsia" w:hint="eastAsia"/>
        </w:rPr>
        <w:t xml:space="preserve"> Li, Kun Wang, Hua He, </w:t>
      </w:r>
      <w:proofErr w:type="spellStart"/>
      <w:r>
        <w:rPr>
          <w:rFonts w:eastAsiaTheme="minorEastAsia" w:hint="eastAsia"/>
        </w:rPr>
        <w:t>Zhongkai</w:t>
      </w:r>
      <w:proofErr w:type="spellEnd"/>
      <w:r>
        <w:rPr>
          <w:rFonts w:eastAsiaTheme="minorEastAsia" w:hint="eastAsia"/>
        </w:rPr>
        <w:t xml:space="preserve"> Wang, </w:t>
      </w:r>
      <w:proofErr w:type="spellStart"/>
      <w:r>
        <w:rPr>
          <w:rFonts w:eastAsiaTheme="minorEastAsia" w:hint="eastAsia"/>
        </w:rPr>
        <w:t>Guangyi</w:t>
      </w:r>
      <w:proofErr w:type="spellEnd"/>
      <w:r>
        <w:rPr>
          <w:rFonts w:eastAsiaTheme="minorEastAsia" w:hint="eastAsia"/>
        </w:rPr>
        <w:t xml:space="preserve"> Fan, Hui Yang, </w:t>
      </w:r>
      <w:proofErr w:type="spellStart"/>
      <w:r>
        <w:rPr>
          <w:rFonts w:eastAsiaTheme="minorEastAsia" w:hint="eastAsia"/>
        </w:rPr>
        <w:t>Aike</w:t>
      </w:r>
      <w:proofErr w:type="spellEnd"/>
      <w:r>
        <w:rPr>
          <w:rFonts w:eastAsiaTheme="minorEastAsia" w:hint="eastAsia"/>
        </w:rPr>
        <w:t xml:space="preserve"> Bao, </w:t>
      </w:r>
      <w:proofErr w:type="spellStart"/>
      <w:r>
        <w:rPr>
          <w:rFonts w:eastAsiaTheme="minorEastAsia" w:hint="eastAsia"/>
        </w:rPr>
        <w:t>Zhanhuan</w:t>
      </w:r>
      <w:proofErr w:type="spellEnd"/>
      <w:r>
        <w:rPr>
          <w:rFonts w:eastAsiaTheme="minorEastAsia" w:hint="eastAsia"/>
        </w:rPr>
        <w:t xml:space="preserve"> Shang, </w:t>
      </w:r>
      <w:proofErr w:type="spellStart"/>
      <w:r>
        <w:rPr>
          <w:rFonts w:eastAsiaTheme="minorEastAsia" w:hint="eastAsia"/>
        </w:rPr>
        <w:t>Jianghua</w:t>
      </w:r>
      <w:proofErr w:type="spellEnd"/>
      <w:r>
        <w:rPr>
          <w:rFonts w:eastAsiaTheme="minorEastAsia" w:hint="eastAsia"/>
        </w:rPr>
        <w:t xml:space="preserve"> Chen, Wen </w:t>
      </w:r>
      <w:proofErr w:type="spellStart"/>
      <w:proofErr w:type="gramStart"/>
      <w:r>
        <w:rPr>
          <w:rFonts w:eastAsiaTheme="minorEastAsia" w:hint="eastAsia"/>
        </w:rPr>
        <w:t>Wang,Qiang</w:t>
      </w:r>
      <w:proofErr w:type="spellEnd"/>
      <w:proofErr w:type="gramEnd"/>
      <w:r>
        <w:rPr>
          <w:rFonts w:eastAsiaTheme="minorEastAsia" w:hint="eastAsia"/>
        </w:rPr>
        <w:t xml:space="preserve"> </w:t>
      </w:r>
      <w:proofErr w:type="spellStart"/>
      <w:r>
        <w:rPr>
          <w:rFonts w:eastAsiaTheme="minorEastAsia" w:hint="eastAsia"/>
        </w:rPr>
        <w:t>Qiu</w:t>
      </w:r>
      <w:proofErr w:type="spellEnd"/>
      <w:r>
        <w:rPr>
          <w:rFonts w:eastAsiaTheme="minorEastAsia"/>
        </w:rPr>
        <w:t>. Allele-aware chromosome-level genome assembly and efficient transgene-free genome editing</w:t>
      </w:r>
      <w:r>
        <w:rPr>
          <w:rFonts w:eastAsiaTheme="minorEastAsia"/>
        </w:rPr>
        <w:t xml:space="preserve"> for the autotetraploid cultivated alfalfa. Nature Communications, 2020</w:t>
      </w:r>
      <w:r>
        <w:rPr>
          <w:rFonts w:eastAsiaTheme="minorEastAsia" w:hint="eastAsia"/>
        </w:rPr>
        <w:t>,</w:t>
      </w:r>
      <w:r>
        <w:rPr>
          <w:rFonts w:eastAsiaTheme="minorEastAsia"/>
        </w:rPr>
        <w:t>11</w:t>
      </w:r>
      <w:r>
        <w:rPr>
          <w:rFonts w:eastAsiaTheme="minorEastAsia" w:hint="eastAsia"/>
        </w:rPr>
        <w:t>(1</w:t>
      </w:r>
      <w:r>
        <w:rPr>
          <w:rFonts w:eastAsiaTheme="minorEastAsia"/>
        </w:rPr>
        <w:t>): 2494.</w:t>
      </w:r>
    </w:p>
    <w:p w14:paraId="272E7D7A" w14:textId="77777777" w:rsidR="00E85F48" w:rsidRDefault="00DE2CB8">
      <w:pPr>
        <w:numPr>
          <w:ilvl w:val="0"/>
          <w:numId w:val="1"/>
        </w:numPr>
        <w:snapToGrid w:val="0"/>
        <w:spacing w:line="360" w:lineRule="auto"/>
        <w:ind w:firstLineChars="200" w:firstLine="420"/>
        <w:rPr>
          <w:rFonts w:eastAsiaTheme="minorEastAsia"/>
        </w:rPr>
      </w:pPr>
      <w:proofErr w:type="spellStart"/>
      <w:r>
        <w:rPr>
          <w:rFonts w:eastAsiaTheme="minorEastAsia"/>
        </w:rPr>
        <w:t>Linkai</w:t>
      </w:r>
      <w:proofErr w:type="spellEnd"/>
      <w:r>
        <w:rPr>
          <w:rFonts w:eastAsiaTheme="minorEastAsia" w:hint="eastAsia"/>
        </w:rPr>
        <w:t xml:space="preserve"> </w:t>
      </w:r>
      <w:r>
        <w:rPr>
          <w:rFonts w:eastAsiaTheme="minorEastAsia"/>
        </w:rPr>
        <w:t xml:space="preserve">Huang, </w:t>
      </w:r>
      <w:proofErr w:type="spellStart"/>
      <w:r>
        <w:rPr>
          <w:rFonts w:eastAsiaTheme="minorEastAsia"/>
        </w:rPr>
        <w:t>Guangyan</w:t>
      </w:r>
      <w:proofErr w:type="spellEnd"/>
      <w:r>
        <w:rPr>
          <w:rFonts w:eastAsiaTheme="minorEastAsia" w:hint="eastAsia"/>
        </w:rPr>
        <w:t xml:space="preserve"> </w:t>
      </w:r>
      <w:r>
        <w:rPr>
          <w:rFonts w:eastAsiaTheme="minorEastAsia"/>
        </w:rPr>
        <w:t xml:space="preserve">Feng, </w:t>
      </w:r>
      <w:proofErr w:type="spellStart"/>
      <w:r>
        <w:rPr>
          <w:rFonts w:eastAsiaTheme="minorEastAsia"/>
        </w:rPr>
        <w:t>Haidong</w:t>
      </w:r>
      <w:proofErr w:type="spellEnd"/>
      <w:r>
        <w:rPr>
          <w:rFonts w:eastAsiaTheme="minorEastAsia" w:hint="eastAsia"/>
        </w:rPr>
        <w:t xml:space="preserve"> </w:t>
      </w:r>
      <w:r>
        <w:rPr>
          <w:rFonts w:eastAsiaTheme="minorEastAsia"/>
        </w:rPr>
        <w:t xml:space="preserve">Yan, </w:t>
      </w:r>
      <w:proofErr w:type="spellStart"/>
      <w:r>
        <w:rPr>
          <w:rFonts w:eastAsiaTheme="minorEastAsia"/>
        </w:rPr>
        <w:t>Zhongren</w:t>
      </w:r>
      <w:proofErr w:type="spellEnd"/>
      <w:r>
        <w:rPr>
          <w:rFonts w:eastAsiaTheme="minorEastAsia" w:hint="eastAsia"/>
        </w:rPr>
        <w:t xml:space="preserve"> </w:t>
      </w:r>
      <w:r>
        <w:rPr>
          <w:rFonts w:eastAsiaTheme="minorEastAsia"/>
        </w:rPr>
        <w:t xml:space="preserve">Zhang, </w:t>
      </w:r>
      <w:proofErr w:type="spellStart"/>
      <w:proofErr w:type="gramStart"/>
      <w:r>
        <w:rPr>
          <w:rFonts w:eastAsiaTheme="minorEastAsia"/>
        </w:rPr>
        <w:t>Bushman,Bradley</w:t>
      </w:r>
      <w:proofErr w:type="spellEnd"/>
      <w:proofErr w:type="gramEnd"/>
      <w:r>
        <w:rPr>
          <w:rFonts w:eastAsiaTheme="minorEastAsia"/>
        </w:rPr>
        <w:t xml:space="preserve"> Shaun, </w:t>
      </w:r>
      <w:proofErr w:type="spellStart"/>
      <w:r>
        <w:rPr>
          <w:rFonts w:eastAsiaTheme="minorEastAsia"/>
        </w:rPr>
        <w:t>Jianping</w:t>
      </w:r>
      <w:proofErr w:type="spellEnd"/>
      <w:r>
        <w:rPr>
          <w:rFonts w:eastAsiaTheme="minorEastAsia" w:hint="eastAsia"/>
        </w:rPr>
        <w:t xml:space="preserve"> </w:t>
      </w:r>
      <w:r>
        <w:rPr>
          <w:rFonts w:eastAsiaTheme="minorEastAsia"/>
        </w:rPr>
        <w:t xml:space="preserve">Wang, </w:t>
      </w:r>
      <w:proofErr w:type="spellStart"/>
      <w:r>
        <w:rPr>
          <w:rFonts w:eastAsiaTheme="minorEastAsia"/>
        </w:rPr>
        <w:t>Bombarely,Aureliano</w:t>
      </w:r>
      <w:proofErr w:type="spellEnd"/>
      <w:r>
        <w:rPr>
          <w:rFonts w:eastAsiaTheme="minorEastAsia"/>
        </w:rPr>
        <w:t xml:space="preserve">, </w:t>
      </w:r>
      <w:proofErr w:type="spellStart"/>
      <w:r>
        <w:rPr>
          <w:rFonts w:eastAsiaTheme="minorEastAsia"/>
        </w:rPr>
        <w:t>Mingzhou</w:t>
      </w:r>
      <w:proofErr w:type="spellEnd"/>
      <w:r>
        <w:rPr>
          <w:rFonts w:eastAsiaTheme="minorEastAsia" w:hint="eastAsia"/>
        </w:rPr>
        <w:t xml:space="preserve"> </w:t>
      </w:r>
      <w:r>
        <w:rPr>
          <w:rFonts w:eastAsiaTheme="minorEastAsia"/>
        </w:rPr>
        <w:t xml:space="preserve">Li, </w:t>
      </w:r>
      <w:proofErr w:type="spellStart"/>
      <w:r>
        <w:rPr>
          <w:rFonts w:eastAsiaTheme="minorEastAsia"/>
        </w:rPr>
        <w:t>Zhongfu</w:t>
      </w:r>
      <w:proofErr w:type="spellEnd"/>
      <w:r>
        <w:rPr>
          <w:rFonts w:eastAsiaTheme="minorEastAsia" w:hint="eastAsia"/>
        </w:rPr>
        <w:t xml:space="preserve"> </w:t>
      </w:r>
      <w:r>
        <w:rPr>
          <w:rFonts w:eastAsiaTheme="minorEastAsia"/>
        </w:rPr>
        <w:t>Yang, Gang</w:t>
      </w:r>
      <w:r>
        <w:rPr>
          <w:rFonts w:eastAsiaTheme="minorEastAsia" w:hint="eastAsia"/>
        </w:rPr>
        <w:t xml:space="preserve"> </w:t>
      </w:r>
      <w:proofErr w:type="spellStart"/>
      <w:r>
        <w:rPr>
          <w:rFonts w:eastAsiaTheme="minorEastAsia"/>
        </w:rPr>
        <w:t>Nie</w:t>
      </w:r>
      <w:proofErr w:type="spellEnd"/>
      <w:r>
        <w:rPr>
          <w:rFonts w:eastAsiaTheme="minorEastAsia"/>
        </w:rPr>
        <w:t xml:space="preserve">, </w:t>
      </w:r>
      <w:proofErr w:type="spellStart"/>
      <w:r>
        <w:rPr>
          <w:rFonts w:eastAsiaTheme="minorEastAsia"/>
        </w:rPr>
        <w:t>Wengang</w:t>
      </w:r>
      <w:proofErr w:type="spellEnd"/>
      <w:r>
        <w:rPr>
          <w:rFonts w:eastAsiaTheme="minorEastAsia" w:hint="eastAsia"/>
        </w:rPr>
        <w:t xml:space="preserve"> </w:t>
      </w:r>
      <w:proofErr w:type="spellStart"/>
      <w:r>
        <w:rPr>
          <w:rFonts w:eastAsiaTheme="minorEastAsia"/>
        </w:rPr>
        <w:t>Xie</w:t>
      </w:r>
      <w:proofErr w:type="spellEnd"/>
      <w:r>
        <w:rPr>
          <w:rFonts w:eastAsiaTheme="minorEastAsia"/>
        </w:rPr>
        <w:t>, Lei</w:t>
      </w:r>
      <w:r>
        <w:rPr>
          <w:rFonts w:eastAsiaTheme="minorEastAsia" w:hint="eastAsia"/>
        </w:rPr>
        <w:t xml:space="preserve"> </w:t>
      </w:r>
      <w:r>
        <w:rPr>
          <w:rFonts w:eastAsiaTheme="minorEastAsia"/>
        </w:rPr>
        <w:t>Xu, Peilin</w:t>
      </w:r>
      <w:r>
        <w:rPr>
          <w:rFonts w:eastAsiaTheme="minorEastAsia" w:hint="eastAsia"/>
        </w:rPr>
        <w:t xml:space="preserve"> </w:t>
      </w:r>
      <w:r>
        <w:rPr>
          <w:rFonts w:eastAsiaTheme="minorEastAsia"/>
        </w:rPr>
        <w:t>Chen, Xinxin</w:t>
      </w:r>
      <w:r>
        <w:rPr>
          <w:rFonts w:eastAsiaTheme="minorEastAsia" w:hint="eastAsia"/>
        </w:rPr>
        <w:t xml:space="preserve"> </w:t>
      </w:r>
      <w:r>
        <w:rPr>
          <w:rFonts w:eastAsiaTheme="minorEastAsia"/>
        </w:rPr>
        <w:t xml:space="preserve">Zhao, </w:t>
      </w:r>
      <w:proofErr w:type="spellStart"/>
      <w:r>
        <w:rPr>
          <w:rFonts w:eastAsiaTheme="minorEastAsia"/>
        </w:rPr>
        <w:t>Wenkai</w:t>
      </w:r>
      <w:proofErr w:type="spellEnd"/>
      <w:r>
        <w:rPr>
          <w:rFonts w:eastAsiaTheme="minorEastAsia" w:hint="eastAsia"/>
        </w:rPr>
        <w:t xml:space="preserve"> </w:t>
      </w:r>
      <w:r>
        <w:rPr>
          <w:rFonts w:eastAsiaTheme="minorEastAsia"/>
        </w:rPr>
        <w:t xml:space="preserve">Jiang, </w:t>
      </w:r>
      <w:proofErr w:type="spellStart"/>
      <w:r>
        <w:rPr>
          <w:rFonts w:eastAsiaTheme="minorEastAsia"/>
        </w:rPr>
        <w:t>Xinquan</w:t>
      </w:r>
      <w:proofErr w:type="spellEnd"/>
      <w:r>
        <w:rPr>
          <w:rFonts w:eastAsiaTheme="minorEastAsia" w:hint="eastAsia"/>
        </w:rPr>
        <w:t xml:space="preserve"> </w:t>
      </w:r>
      <w:proofErr w:type="spellStart"/>
      <w:r>
        <w:rPr>
          <w:rFonts w:eastAsiaTheme="minorEastAsia"/>
        </w:rPr>
        <w:t>Zhang.Genome</w:t>
      </w:r>
      <w:proofErr w:type="spellEnd"/>
      <w:r>
        <w:rPr>
          <w:rFonts w:eastAsiaTheme="minorEastAsia"/>
        </w:rPr>
        <w:t xml:space="preserve"> assembly provides insights into the genome evolution and flowering regulation of </w:t>
      </w:r>
      <w:proofErr w:type="spellStart"/>
      <w:r>
        <w:rPr>
          <w:rFonts w:eastAsiaTheme="minorEastAsia"/>
        </w:rPr>
        <w:t>orchardgrass</w:t>
      </w:r>
      <w:proofErr w:type="spellEnd"/>
      <w:r>
        <w:rPr>
          <w:rFonts w:eastAsiaTheme="minorEastAsia"/>
        </w:rPr>
        <w:t>. Plant Biotechnology Journal, 2020,18(2): 373–388.</w:t>
      </w:r>
    </w:p>
    <w:p w14:paraId="3D907654" w14:textId="77777777" w:rsidR="00E85F48" w:rsidRDefault="00DE2CB8">
      <w:pPr>
        <w:numPr>
          <w:ilvl w:val="0"/>
          <w:numId w:val="1"/>
        </w:numPr>
        <w:snapToGrid w:val="0"/>
        <w:spacing w:line="360" w:lineRule="auto"/>
        <w:ind w:firstLineChars="200" w:firstLine="420"/>
        <w:rPr>
          <w:rFonts w:eastAsiaTheme="minorEastAsia"/>
        </w:rPr>
      </w:pPr>
      <w:proofErr w:type="spellStart"/>
      <w:r>
        <w:rPr>
          <w:rFonts w:eastAsiaTheme="minorEastAsia"/>
        </w:rPr>
        <w:t>Huakun</w:t>
      </w:r>
      <w:proofErr w:type="spellEnd"/>
      <w:r>
        <w:rPr>
          <w:rFonts w:eastAsiaTheme="minorEastAsia"/>
        </w:rPr>
        <w:t xml:space="preserve"> </w:t>
      </w:r>
      <w:proofErr w:type="spellStart"/>
      <w:proofErr w:type="gramStart"/>
      <w:r>
        <w:rPr>
          <w:rFonts w:eastAsiaTheme="minorEastAsia"/>
        </w:rPr>
        <w:t>Zheng,Baiyu</w:t>
      </w:r>
      <w:proofErr w:type="spellEnd"/>
      <w:proofErr w:type="gramEnd"/>
      <w:r>
        <w:rPr>
          <w:rFonts w:eastAsiaTheme="minorEastAsia"/>
        </w:rPr>
        <w:t xml:space="preserve"> </w:t>
      </w:r>
      <w:proofErr w:type="spellStart"/>
      <w:r>
        <w:rPr>
          <w:rFonts w:eastAsiaTheme="minorEastAsia"/>
        </w:rPr>
        <w:t>Wang,Xiuting</w:t>
      </w:r>
      <w:proofErr w:type="spellEnd"/>
      <w:r>
        <w:rPr>
          <w:rFonts w:eastAsiaTheme="minorEastAsia"/>
        </w:rPr>
        <w:t xml:space="preserve"> </w:t>
      </w:r>
      <w:proofErr w:type="spellStart"/>
      <w:r>
        <w:rPr>
          <w:rFonts w:eastAsiaTheme="minorEastAsia"/>
        </w:rPr>
        <w:t>Hua,Ruiting</w:t>
      </w:r>
      <w:proofErr w:type="spellEnd"/>
      <w:r>
        <w:rPr>
          <w:rFonts w:eastAsiaTheme="minorEastAsia"/>
        </w:rPr>
        <w:t xml:space="preserve"> </w:t>
      </w:r>
      <w:proofErr w:type="spellStart"/>
      <w:r>
        <w:rPr>
          <w:rFonts w:eastAsiaTheme="minorEastAsia"/>
        </w:rPr>
        <w:t>Ga</w:t>
      </w:r>
      <w:r>
        <w:rPr>
          <w:rFonts w:eastAsiaTheme="minorEastAsia"/>
        </w:rPr>
        <w:t>o,Yuhao</w:t>
      </w:r>
      <w:proofErr w:type="spellEnd"/>
      <w:r>
        <w:rPr>
          <w:rFonts w:eastAsiaTheme="minorEastAsia"/>
        </w:rPr>
        <w:t xml:space="preserve"> </w:t>
      </w:r>
      <w:proofErr w:type="spellStart"/>
      <w:r>
        <w:rPr>
          <w:rFonts w:eastAsiaTheme="minorEastAsia"/>
        </w:rPr>
        <w:t>Wang,Zixin</w:t>
      </w:r>
      <w:proofErr w:type="spellEnd"/>
      <w:r>
        <w:rPr>
          <w:rFonts w:eastAsiaTheme="minorEastAsia"/>
        </w:rPr>
        <w:t xml:space="preserve"> </w:t>
      </w:r>
      <w:proofErr w:type="spellStart"/>
      <w:r>
        <w:rPr>
          <w:rFonts w:eastAsiaTheme="minorEastAsia"/>
        </w:rPr>
        <w:t>Zhang,Yixing</w:t>
      </w:r>
      <w:proofErr w:type="spellEnd"/>
      <w:r>
        <w:rPr>
          <w:rFonts w:eastAsiaTheme="minorEastAsia"/>
        </w:rPr>
        <w:t xml:space="preserve"> </w:t>
      </w:r>
      <w:proofErr w:type="spellStart"/>
      <w:r>
        <w:rPr>
          <w:rFonts w:eastAsiaTheme="minorEastAsia"/>
        </w:rPr>
        <w:t>Zhang,Jing</w:t>
      </w:r>
      <w:proofErr w:type="spellEnd"/>
      <w:r>
        <w:rPr>
          <w:rFonts w:eastAsiaTheme="minorEastAsia"/>
        </w:rPr>
        <w:t xml:space="preserve"> </w:t>
      </w:r>
      <w:proofErr w:type="spellStart"/>
      <w:r>
        <w:rPr>
          <w:rFonts w:eastAsiaTheme="minorEastAsia"/>
        </w:rPr>
        <w:t>Mei,Yongji</w:t>
      </w:r>
      <w:proofErr w:type="spellEnd"/>
      <w:r>
        <w:rPr>
          <w:rFonts w:eastAsiaTheme="minorEastAsia"/>
        </w:rPr>
        <w:t xml:space="preserve"> </w:t>
      </w:r>
      <w:proofErr w:type="spellStart"/>
      <w:r>
        <w:rPr>
          <w:rFonts w:eastAsiaTheme="minorEastAsia"/>
        </w:rPr>
        <w:t>Huang,Yumin</w:t>
      </w:r>
      <w:proofErr w:type="spellEnd"/>
      <w:r>
        <w:rPr>
          <w:rFonts w:eastAsiaTheme="minorEastAsia"/>
        </w:rPr>
        <w:t xml:space="preserve"> </w:t>
      </w:r>
      <w:proofErr w:type="spellStart"/>
      <w:r>
        <w:rPr>
          <w:rFonts w:eastAsiaTheme="minorEastAsia"/>
        </w:rPr>
        <w:t>Huang,Hui</w:t>
      </w:r>
      <w:proofErr w:type="spellEnd"/>
      <w:r>
        <w:rPr>
          <w:rFonts w:eastAsiaTheme="minorEastAsia"/>
        </w:rPr>
        <w:t xml:space="preserve"> </w:t>
      </w:r>
      <w:proofErr w:type="spellStart"/>
      <w:r>
        <w:rPr>
          <w:rFonts w:eastAsiaTheme="minorEastAsia"/>
        </w:rPr>
        <w:t>Lin,Xingtan</w:t>
      </w:r>
      <w:proofErr w:type="spellEnd"/>
      <w:r>
        <w:rPr>
          <w:rFonts w:eastAsiaTheme="minorEastAsia"/>
        </w:rPr>
        <w:t xml:space="preserve"> </w:t>
      </w:r>
      <w:proofErr w:type="spellStart"/>
      <w:r>
        <w:rPr>
          <w:rFonts w:eastAsiaTheme="minorEastAsia"/>
        </w:rPr>
        <w:t>Zhang,Dongmei</w:t>
      </w:r>
      <w:proofErr w:type="spellEnd"/>
      <w:r>
        <w:rPr>
          <w:rFonts w:eastAsiaTheme="minorEastAsia"/>
        </w:rPr>
        <w:t xml:space="preserve"> </w:t>
      </w:r>
      <w:proofErr w:type="spellStart"/>
      <w:r>
        <w:rPr>
          <w:rFonts w:eastAsiaTheme="minorEastAsia"/>
        </w:rPr>
        <w:t>Lin,Siren</w:t>
      </w:r>
      <w:proofErr w:type="spellEnd"/>
      <w:r>
        <w:rPr>
          <w:rFonts w:eastAsiaTheme="minorEastAsia"/>
        </w:rPr>
        <w:t xml:space="preserve"> </w:t>
      </w:r>
      <w:proofErr w:type="spellStart"/>
      <w:r>
        <w:rPr>
          <w:rFonts w:eastAsiaTheme="minorEastAsia"/>
        </w:rPr>
        <w:t>Lan,Zhongjian</w:t>
      </w:r>
      <w:proofErr w:type="spellEnd"/>
      <w:r>
        <w:rPr>
          <w:rFonts w:eastAsiaTheme="minorEastAsia"/>
        </w:rPr>
        <w:t xml:space="preserve"> </w:t>
      </w:r>
      <w:proofErr w:type="spellStart"/>
      <w:r>
        <w:rPr>
          <w:rFonts w:eastAsiaTheme="minorEastAsia"/>
        </w:rPr>
        <w:t>Liu,Guodong</w:t>
      </w:r>
      <w:proofErr w:type="spellEnd"/>
      <w:r>
        <w:rPr>
          <w:rFonts w:eastAsiaTheme="minorEastAsia"/>
        </w:rPr>
        <w:t xml:space="preserve"> </w:t>
      </w:r>
      <w:proofErr w:type="spellStart"/>
      <w:r>
        <w:rPr>
          <w:rFonts w:eastAsiaTheme="minorEastAsia"/>
        </w:rPr>
        <w:t>Lu,Zonghua</w:t>
      </w:r>
      <w:proofErr w:type="spellEnd"/>
      <w:r>
        <w:rPr>
          <w:rFonts w:eastAsiaTheme="minorEastAsia"/>
        </w:rPr>
        <w:t xml:space="preserve"> </w:t>
      </w:r>
      <w:proofErr w:type="spellStart"/>
      <w:r>
        <w:rPr>
          <w:rFonts w:eastAsiaTheme="minorEastAsia"/>
        </w:rPr>
        <w:t>Wang,,Ray</w:t>
      </w:r>
      <w:proofErr w:type="spellEnd"/>
      <w:r>
        <w:rPr>
          <w:rFonts w:eastAsiaTheme="minorEastAsia"/>
        </w:rPr>
        <w:t xml:space="preserve"> </w:t>
      </w:r>
      <w:proofErr w:type="spellStart"/>
      <w:r>
        <w:rPr>
          <w:rFonts w:eastAsiaTheme="minorEastAsia"/>
        </w:rPr>
        <w:t>Ming,Jisen</w:t>
      </w:r>
      <w:proofErr w:type="spellEnd"/>
      <w:r>
        <w:rPr>
          <w:rFonts w:eastAsiaTheme="minorEastAsia"/>
        </w:rPr>
        <w:t xml:space="preserve"> </w:t>
      </w:r>
      <w:proofErr w:type="spellStart"/>
      <w:r>
        <w:rPr>
          <w:rFonts w:eastAsiaTheme="minorEastAsia"/>
        </w:rPr>
        <w:t>Zhang,Zhanxi</w:t>
      </w:r>
      <w:proofErr w:type="spellEnd"/>
      <w:r>
        <w:rPr>
          <w:rFonts w:eastAsiaTheme="minorEastAsia"/>
        </w:rPr>
        <w:t xml:space="preserve"> Lin. A near-complete genome assembly of the </w:t>
      </w:r>
      <w:proofErr w:type="spellStart"/>
      <w:r>
        <w:rPr>
          <w:rFonts w:eastAsiaTheme="minorEastAsia"/>
        </w:rPr>
        <w:t>allotetrapolyploid</w:t>
      </w:r>
      <w:proofErr w:type="spellEnd"/>
      <w:r>
        <w:rPr>
          <w:rFonts w:eastAsiaTheme="minorEastAsia"/>
        </w:rPr>
        <w:t xml:space="preserve"> Cenchrus </w:t>
      </w:r>
      <w:proofErr w:type="spellStart"/>
      <w:r>
        <w:rPr>
          <w:rFonts w:eastAsiaTheme="minorEastAsia"/>
        </w:rPr>
        <w:t>f</w:t>
      </w:r>
      <w:r>
        <w:rPr>
          <w:rFonts w:eastAsiaTheme="minorEastAsia"/>
        </w:rPr>
        <w:t>ungigraminus</w:t>
      </w:r>
      <w:proofErr w:type="spellEnd"/>
      <w:r>
        <w:rPr>
          <w:rFonts w:eastAsiaTheme="minorEastAsia"/>
        </w:rPr>
        <w:t xml:space="preserve"> (JUJUNCAO) provides insights into its evolution and C4 photosynthesis. Plant Communications, 2023,4(</w:t>
      </w:r>
      <w:r>
        <w:rPr>
          <w:rFonts w:eastAsiaTheme="minorEastAsia" w:hint="eastAsia"/>
        </w:rPr>
        <w:t>5</w:t>
      </w:r>
      <w:r>
        <w:rPr>
          <w:rFonts w:eastAsiaTheme="minorEastAsia"/>
        </w:rPr>
        <w:t>), 100</w:t>
      </w:r>
      <w:r>
        <w:rPr>
          <w:rFonts w:eastAsiaTheme="minorEastAsia" w:hint="eastAsia"/>
        </w:rPr>
        <w:t>633</w:t>
      </w:r>
      <w:r>
        <w:rPr>
          <w:rFonts w:eastAsiaTheme="minorEastAsia"/>
        </w:rPr>
        <w:t>.</w:t>
      </w:r>
    </w:p>
    <w:p w14:paraId="6A185984" w14:textId="77777777" w:rsidR="00E85F48" w:rsidRDefault="00DE2CB8">
      <w:pPr>
        <w:numPr>
          <w:ilvl w:val="0"/>
          <w:numId w:val="1"/>
        </w:numPr>
        <w:snapToGrid w:val="0"/>
        <w:spacing w:line="360" w:lineRule="auto"/>
        <w:ind w:firstLineChars="200" w:firstLine="420"/>
        <w:rPr>
          <w:rFonts w:eastAsiaTheme="minorEastAsia"/>
        </w:rPr>
      </w:pPr>
      <w:r>
        <w:rPr>
          <w:rFonts w:eastAsiaTheme="minorEastAsia"/>
        </w:rPr>
        <w:t xml:space="preserve">Yong Peng, Dan </w:t>
      </w:r>
      <w:proofErr w:type="spellStart"/>
      <w:r>
        <w:rPr>
          <w:rFonts w:eastAsiaTheme="minorEastAsia"/>
        </w:rPr>
        <w:t>Xiong</w:t>
      </w:r>
      <w:proofErr w:type="spellEnd"/>
      <w:r>
        <w:rPr>
          <w:rFonts w:eastAsiaTheme="minorEastAsia"/>
        </w:rPr>
        <w:t xml:space="preserve">, </w:t>
      </w:r>
      <w:proofErr w:type="spellStart"/>
      <w:r>
        <w:rPr>
          <w:rFonts w:eastAsiaTheme="minorEastAsia"/>
        </w:rPr>
        <w:t>Lun</w:t>
      </w:r>
      <w:proofErr w:type="spellEnd"/>
      <w:r>
        <w:rPr>
          <w:rFonts w:eastAsiaTheme="minorEastAsia"/>
        </w:rPr>
        <w:t xml:space="preserve"> Zhao, </w:t>
      </w:r>
      <w:proofErr w:type="spellStart"/>
      <w:r>
        <w:rPr>
          <w:rFonts w:eastAsiaTheme="minorEastAsia"/>
        </w:rPr>
        <w:t>Weizhi</w:t>
      </w:r>
      <w:proofErr w:type="spellEnd"/>
      <w:r>
        <w:rPr>
          <w:rFonts w:eastAsiaTheme="minorEastAsia"/>
        </w:rPr>
        <w:t xml:space="preserve"> Ouyang, </w:t>
      </w:r>
      <w:proofErr w:type="spellStart"/>
      <w:r>
        <w:rPr>
          <w:rFonts w:eastAsiaTheme="minorEastAsia"/>
        </w:rPr>
        <w:t>Shuangqi</w:t>
      </w:r>
      <w:proofErr w:type="spellEnd"/>
      <w:r>
        <w:rPr>
          <w:rFonts w:eastAsiaTheme="minorEastAsia"/>
        </w:rPr>
        <w:t xml:space="preserve"> Wang, Jun Sun, Qing Zhang, </w:t>
      </w:r>
      <w:proofErr w:type="spellStart"/>
      <w:r>
        <w:rPr>
          <w:rFonts w:eastAsiaTheme="minorEastAsia"/>
        </w:rPr>
        <w:t>Pengpeng</w:t>
      </w:r>
      <w:proofErr w:type="spellEnd"/>
      <w:r>
        <w:rPr>
          <w:rFonts w:eastAsiaTheme="minorEastAsia"/>
        </w:rPr>
        <w:t xml:space="preserve"> Guan, Liang </w:t>
      </w:r>
      <w:proofErr w:type="spellStart"/>
      <w:r>
        <w:rPr>
          <w:rFonts w:eastAsiaTheme="minorEastAsia"/>
        </w:rPr>
        <w:t>Xie</w:t>
      </w:r>
      <w:proofErr w:type="spellEnd"/>
      <w:r>
        <w:rPr>
          <w:rFonts w:eastAsiaTheme="minorEastAsia"/>
        </w:rPr>
        <w:t xml:space="preserve">, </w:t>
      </w:r>
      <w:proofErr w:type="spellStart"/>
      <w:r>
        <w:rPr>
          <w:rFonts w:eastAsiaTheme="minorEastAsia"/>
        </w:rPr>
        <w:t>Wenqiang</w:t>
      </w:r>
      <w:proofErr w:type="spellEnd"/>
      <w:r>
        <w:rPr>
          <w:rFonts w:eastAsiaTheme="minorEastAsia"/>
        </w:rPr>
        <w:t xml:space="preserve"> Li, Guoliang </w:t>
      </w:r>
      <w:r>
        <w:rPr>
          <w:rFonts w:eastAsiaTheme="minorEastAsia"/>
        </w:rPr>
        <w:t>Li, Jianbing Yan</w:t>
      </w:r>
      <w:r>
        <w:rPr>
          <w:rFonts w:eastAsiaTheme="minorEastAsia" w:hint="eastAsia"/>
        </w:rPr>
        <w:t xml:space="preserve">, </w:t>
      </w:r>
      <w:proofErr w:type="spellStart"/>
      <w:r>
        <w:rPr>
          <w:rFonts w:eastAsiaTheme="minorEastAsia"/>
        </w:rPr>
        <w:t>Xingwang</w:t>
      </w:r>
      <w:proofErr w:type="spellEnd"/>
      <w:r>
        <w:rPr>
          <w:rFonts w:eastAsiaTheme="minorEastAsia"/>
        </w:rPr>
        <w:t xml:space="preserve"> Li. Chromatin interaction maps reveal genetic regulation for quantitative traits in </w:t>
      </w:r>
      <w:proofErr w:type="spellStart"/>
      <w:proofErr w:type="gramStart"/>
      <w:r>
        <w:rPr>
          <w:rFonts w:eastAsiaTheme="minorEastAsia"/>
        </w:rPr>
        <w:t>maize.Nature</w:t>
      </w:r>
      <w:proofErr w:type="spellEnd"/>
      <w:proofErr w:type="gramEnd"/>
      <w:r>
        <w:rPr>
          <w:rFonts w:eastAsiaTheme="minorEastAsia"/>
        </w:rPr>
        <w:t xml:space="preserve"> Communications,  2019,10</w:t>
      </w:r>
      <w:r>
        <w:rPr>
          <w:rFonts w:eastAsiaTheme="minorEastAsia" w:hint="eastAsia"/>
        </w:rPr>
        <w:t>(1):</w:t>
      </w:r>
      <w:r>
        <w:rPr>
          <w:rFonts w:eastAsiaTheme="minorEastAsia"/>
        </w:rPr>
        <w:t xml:space="preserve">2632. </w:t>
      </w:r>
    </w:p>
    <w:p w14:paraId="432F1776" w14:textId="77777777" w:rsidR="00E85F48" w:rsidRDefault="00DE2CB8">
      <w:pPr>
        <w:numPr>
          <w:ilvl w:val="0"/>
          <w:numId w:val="1"/>
        </w:numPr>
        <w:snapToGrid w:val="0"/>
        <w:spacing w:line="360" w:lineRule="auto"/>
        <w:ind w:firstLineChars="200" w:firstLine="420"/>
        <w:rPr>
          <w:rFonts w:eastAsiaTheme="minorEastAsia"/>
        </w:rPr>
      </w:pPr>
      <w:proofErr w:type="spellStart"/>
      <w:r>
        <w:rPr>
          <w:rFonts w:eastAsiaTheme="minorEastAsia"/>
        </w:rPr>
        <w:t>Mingkun</w:t>
      </w:r>
      <w:proofErr w:type="spellEnd"/>
      <w:r>
        <w:rPr>
          <w:rFonts w:eastAsiaTheme="minorEastAsia"/>
        </w:rPr>
        <w:t xml:space="preserve"> Huang, </w:t>
      </w:r>
      <w:proofErr w:type="spellStart"/>
      <w:r>
        <w:rPr>
          <w:rFonts w:eastAsiaTheme="minorEastAsia"/>
        </w:rPr>
        <w:t>Yufang</w:t>
      </w:r>
      <w:proofErr w:type="spellEnd"/>
      <w:r>
        <w:rPr>
          <w:rFonts w:eastAsiaTheme="minorEastAsia"/>
        </w:rPr>
        <w:t xml:space="preserve"> Hu, Ling Zhang, Hua Yang, Chen Feng, </w:t>
      </w:r>
      <w:proofErr w:type="spellStart"/>
      <w:r>
        <w:rPr>
          <w:rFonts w:eastAsiaTheme="minorEastAsia"/>
        </w:rPr>
        <w:t>Chunhong</w:t>
      </w:r>
      <w:proofErr w:type="spellEnd"/>
      <w:r>
        <w:rPr>
          <w:rFonts w:eastAsiaTheme="minorEastAsia"/>
        </w:rPr>
        <w:t xml:space="preserve"> Jiang, Ning </w:t>
      </w:r>
      <w:proofErr w:type="spellStart"/>
      <w:r>
        <w:rPr>
          <w:rFonts w:eastAsiaTheme="minorEastAsia"/>
        </w:rPr>
        <w:t>Xie</w:t>
      </w:r>
      <w:proofErr w:type="spellEnd"/>
      <w:r>
        <w:rPr>
          <w:rFonts w:eastAsiaTheme="minorEastAsia"/>
        </w:rPr>
        <w:t xml:space="preserve">, </w:t>
      </w:r>
      <w:proofErr w:type="spellStart"/>
      <w:r>
        <w:rPr>
          <w:rFonts w:eastAsiaTheme="minorEastAsia"/>
        </w:rPr>
        <w:t>Difa</w:t>
      </w:r>
      <w:proofErr w:type="spellEnd"/>
      <w:r>
        <w:rPr>
          <w:rFonts w:eastAsiaTheme="minorEastAsia"/>
        </w:rPr>
        <w:t xml:space="preserve"> Liu, </w:t>
      </w:r>
      <w:proofErr w:type="spellStart"/>
      <w:r>
        <w:rPr>
          <w:rFonts w:eastAsiaTheme="minorEastAsia"/>
        </w:rPr>
        <w:t>Sh</w:t>
      </w:r>
      <w:r>
        <w:rPr>
          <w:rFonts w:eastAsiaTheme="minorEastAsia"/>
        </w:rPr>
        <w:t>ilin</w:t>
      </w:r>
      <w:proofErr w:type="spellEnd"/>
      <w:r>
        <w:rPr>
          <w:rFonts w:eastAsiaTheme="minorEastAsia"/>
        </w:rPr>
        <w:t xml:space="preserve"> Chen, </w:t>
      </w:r>
      <w:proofErr w:type="spellStart"/>
      <w:r>
        <w:rPr>
          <w:rFonts w:eastAsiaTheme="minorEastAsia"/>
        </w:rPr>
        <w:t>Jihua</w:t>
      </w:r>
      <w:proofErr w:type="spellEnd"/>
      <w:r>
        <w:rPr>
          <w:rFonts w:eastAsiaTheme="minorEastAsia"/>
        </w:rPr>
        <w:t xml:space="preserve"> Wang, Wei </w:t>
      </w:r>
      <w:proofErr w:type="spellStart"/>
      <w:r>
        <w:rPr>
          <w:rFonts w:eastAsiaTheme="minorEastAsia"/>
        </w:rPr>
        <w:t>Sun.Decoding</w:t>
      </w:r>
      <w:proofErr w:type="spellEnd"/>
      <w:r>
        <w:rPr>
          <w:rFonts w:eastAsiaTheme="minorEastAsia"/>
        </w:rPr>
        <w:t xml:space="preserve"> the chromatin accessibility in Andrographis paniculata genome, a case study of genome-wide investigation of the cis-regulatory elements in medicinal plants. Acta Pharmaceutica Sinica</w:t>
      </w:r>
      <w:r>
        <w:rPr>
          <w:rFonts w:eastAsiaTheme="minorEastAsia" w:hint="eastAsia"/>
        </w:rPr>
        <w:t>.</w:t>
      </w:r>
      <w:r>
        <w:rPr>
          <w:rFonts w:eastAsiaTheme="minorEastAsia"/>
        </w:rPr>
        <w:t xml:space="preserve"> B, 2024,14(</w:t>
      </w:r>
      <w:r>
        <w:rPr>
          <w:rFonts w:eastAsiaTheme="minorEastAsia" w:hint="eastAsia"/>
        </w:rPr>
        <w:t>9</w:t>
      </w:r>
      <w:r>
        <w:rPr>
          <w:rFonts w:eastAsiaTheme="minorEastAsia"/>
        </w:rPr>
        <w:t>):4179-4182.</w:t>
      </w:r>
    </w:p>
    <w:p w14:paraId="00A3E309" w14:textId="77777777" w:rsidR="00E85F48" w:rsidRDefault="00DE2CB8">
      <w:pPr>
        <w:numPr>
          <w:ilvl w:val="0"/>
          <w:numId w:val="1"/>
        </w:numPr>
        <w:snapToGrid w:val="0"/>
        <w:spacing w:line="360" w:lineRule="auto"/>
        <w:ind w:firstLineChars="200" w:firstLine="400"/>
        <w:rPr>
          <w:rFonts w:eastAsia="楷体"/>
          <w:sz w:val="20"/>
          <w:szCs w:val="20"/>
        </w:rPr>
      </w:pPr>
      <w:r>
        <w:rPr>
          <w:rFonts w:eastAsia="楷体"/>
          <w:sz w:val="20"/>
          <w:szCs w:val="20"/>
        </w:rPr>
        <w:t>刘志鹏</w:t>
      </w:r>
      <w:r>
        <w:rPr>
          <w:rFonts w:eastAsia="楷体"/>
          <w:sz w:val="20"/>
          <w:szCs w:val="20"/>
        </w:rPr>
        <w:t>,</w:t>
      </w:r>
      <w:r>
        <w:rPr>
          <w:rFonts w:eastAsia="楷体"/>
          <w:sz w:val="20"/>
          <w:szCs w:val="20"/>
        </w:rPr>
        <w:t>周强</w:t>
      </w:r>
      <w:r>
        <w:rPr>
          <w:rFonts w:eastAsia="楷体"/>
          <w:sz w:val="20"/>
          <w:szCs w:val="20"/>
        </w:rPr>
        <w:t>,</w:t>
      </w:r>
      <w:r>
        <w:rPr>
          <w:rFonts w:eastAsia="楷体"/>
          <w:sz w:val="20"/>
          <w:szCs w:val="20"/>
        </w:rPr>
        <w:t>刘文献</w:t>
      </w:r>
      <w:r>
        <w:rPr>
          <w:rFonts w:eastAsia="楷体"/>
          <w:sz w:val="20"/>
          <w:szCs w:val="20"/>
        </w:rPr>
        <w:t>,</w:t>
      </w:r>
      <w:r>
        <w:rPr>
          <w:rFonts w:eastAsia="楷体"/>
          <w:sz w:val="20"/>
          <w:szCs w:val="20"/>
        </w:rPr>
        <w:t>张吉宇</w:t>
      </w:r>
      <w:r>
        <w:rPr>
          <w:rFonts w:eastAsia="楷体"/>
          <w:sz w:val="20"/>
          <w:szCs w:val="20"/>
        </w:rPr>
        <w:t>,</w:t>
      </w:r>
      <w:r>
        <w:rPr>
          <w:rFonts w:eastAsia="楷体"/>
          <w:sz w:val="20"/>
          <w:szCs w:val="20"/>
        </w:rPr>
        <w:t>谢文刚</w:t>
      </w:r>
      <w:r>
        <w:rPr>
          <w:rFonts w:eastAsia="楷体"/>
          <w:sz w:val="20"/>
          <w:szCs w:val="20"/>
        </w:rPr>
        <w:t>,</w:t>
      </w:r>
      <w:r>
        <w:rPr>
          <w:rFonts w:eastAsia="楷体"/>
          <w:sz w:val="20"/>
          <w:szCs w:val="20"/>
        </w:rPr>
        <w:t>方龙发</w:t>
      </w:r>
      <w:r>
        <w:rPr>
          <w:rFonts w:eastAsia="楷体"/>
          <w:sz w:val="20"/>
          <w:szCs w:val="20"/>
        </w:rPr>
        <w:t>,</w:t>
      </w:r>
      <w:r>
        <w:rPr>
          <w:rFonts w:eastAsia="楷体"/>
          <w:sz w:val="20"/>
          <w:szCs w:val="20"/>
        </w:rPr>
        <w:t>王彦荣</w:t>
      </w:r>
      <w:r>
        <w:rPr>
          <w:rFonts w:eastAsia="楷体"/>
          <w:sz w:val="20"/>
          <w:szCs w:val="20"/>
        </w:rPr>
        <w:t>,</w:t>
      </w:r>
      <w:proofErr w:type="gramStart"/>
      <w:r>
        <w:rPr>
          <w:rFonts w:eastAsia="楷体"/>
          <w:sz w:val="20"/>
          <w:szCs w:val="20"/>
        </w:rPr>
        <w:t>南志标</w:t>
      </w:r>
      <w:proofErr w:type="gramEnd"/>
      <w:r>
        <w:rPr>
          <w:rFonts w:eastAsia="楷体"/>
          <w:sz w:val="20"/>
          <w:szCs w:val="20"/>
        </w:rPr>
        <w:t>.</w:t>
      </w:r>
      <w:r>
        <w:rPr>
          <w:rFonts w:eastAsia="楷体"/>
          <w:sz w:val="20"/>
          <w:szCs w:val="20"/>
        </w:rPr>
        <w:t>中国牧草育种中的若干科学问题</w:t>
      </w:r>
      <w:r>
        <w:rPr>
          <w:rFonts w:eastAsia="楷体"/>
          <w:sz w:val="20"/>
          <w:szCs w:val="20"/>
        </w:rPr>
        <w:t>.</w:t>
      </w:r>
      <w:r>
        <w:rPr>
          <w:rFonts w:eastAsia="楷体"/>
          <w:sz w:val="20"/>
          <w:szCs w:val="20"/>
        </w:rPr>
        <w:t>草业学报</w:t>
      </w:r>
      <w:r>
        <w:rPr>
          <w:rFonts w:eastAsia="楷体"/>
          <w:sz w:val="20"/>
          <w:szCs w:val="20"/>
        </w:rPr>
        <w:t>, 2021,30(12): 184–193.</w:t>
      </w:r>
    </w:p>
    <w:p w14:paraId="2A498997" w14:textId="77777777" w:rsidR="00E85F48" w:rsidRDefault="00DE2CB8">
      <w:pPr>
        <w:numPr>
          <w:ilvl w:val="0"/>
          <w:numId w:val="1"/>
        </w:numPr>
        <w:snapToGrid w:val="0"/>
        <w:spacing w:line="360" w:lineRule="auto"/>
        <w:ind w:firstLineChars="200" w:firstLine="420"/>
        <w:rPr>
          <w:rFonts w:eastAsiaTheme="minorEastAsia"/>
        </w:rPr>
      </w:pPr>
      <w:proofErr w:type="spellStart"/>
      <w:r>
        <w:rPr>
          <w:rFonts w:eastAsiaTheme="minorEastAsia"/>
        </w:rPr>
        <w:lastRenderedPageBreak/>
        <w:t>Xueqian</w:t>
      </w:r>
      <w:proofErr w:type="spellEnd"/>
      <w:r>
        <w:rPr>
          <w:rFonts w:eastAsiaTheme="minorEastAsia" w:hint="eastAsia"/>
        </w:rPr>
        <w:t xml:space="preserve"> </w:t>
      </w:r>
      <w:proofErr w:type="spellStart"/>
      <w:proofErr w:type="gramStart"/>
      <w:r>
        <w:rPr>
          <w:rFonts w:eastAsiaTheme="minorEastAsia"/>
        </w:rPr>
        <w:t>Jiang,Tianhui</w:t>
      </w:r>
      <w:proofErr w:type="spellEnd"/>
      <w:proofErr w:type="gramEnd"/>
      <w:r>
        <w:rPr>
          <w:rFonts w:eastAsiaTheme="minorEastAsia" w:hint="eastAsia"/>
        </w:rPr>
        <w:t xml:space="preserve"> </w:t>
      </w:r>
      <w:proofErr w:type="spellStart"/>
      <w:r>
        <w:rPr>
          <w:rFonts w:eastAsiaTheme="minorEastAsia"/>
        </w:rPr>
        <w:t>Yang,Fan</w:t>
      </w:r>
      <w:proofErr w:type="spellEnd"/>
      <w:r>
        <w:rPr>
          <w:rFonts w:eastAsiaTheme="minorEastAsia" w:hint="eastAsia"/>
        </w:rPr>
        <w:t xml:space="preserve"> </w:t>
      </w:r>
      <w:proofErr w:type="spellStart"/>
      <w:r>
        <w:rPr>
          <w:rFonts w:eastAsiaTheme="minorEastAsia"/>
        </w:rPr>
        <w:t>Zhang,Xijiang</w:t>
      </w:r>
      <w:proofErr w:type="spellEnd"/>
      <w:r>
        <w:rPr>
          <w:rFonts w:eastAsiaTheme="minorEastAsia" w:hint="eastAsia"/>
        </w:rPr>
        <w:t xml:space="preserve"> </w:t>
      </w:r>
      <w:r>
        <w:rPr>
          <w:rFonts w:eastAsiaTheme="minorEastAsia"/>
        </w:rPr>
        <w:t xml:space="preserve">Yang, </w:t>
      </w:r>
      <w:proofErr w:type="spellStart"/>
      <w:r>
        <w:rPr>
          <w:rFonts w:eastAsiaTheme="minorEastAsia"/>
        </w:rPr>
        <w:t>Changfu</w:t>
      </w:r>
      <w:proofErr w:type="spellEnd"/>
      <w:r>
        <w:rPr>
          <w:rFonts w:eastAsiaTheme="minorEastAsia" w:hint="eastAsia"/>
        </w:rPr>
        <w:t xml:space="preserve"> </w:t>
      </w:r>
      <w:r>
        <w:rPr>
          <w:rFonts w:eastAsiaTheme="minorEastAsia"/>
        </w:rPr>
        <w:t>Yang, Fei</w:t>
      </w:r>
      <w:r>
        <w:rPr>
          <w:rFonts w:eastAsiaTheme="minorEastAsia" w:hint="eastAsia"/>
        </w:rPr>
        <w:t xml:space="preserve"> </w:t>
      </w:r>
      <w:r>
        <w:rPr>
          <w:rFonts w:eastAsiaTheme="minorEastAsia"/>
        </w:rPr>
        <w:t xml:space="preserve">He, </w:t>
      </w:r>
      <w:proofErr w:type="spellStart"/>
      <w:r>
        <w:rPr>
          <w:rFonts w:eastAsiaTheme="minorEastAsia"/>
        </w:rPr>
        <w:t>Ruicai</w:t>
      </w:r>
      <w:proofErr w:type="spellEnd"/>
      <w:r>
        <w:rPr>
          <w:rFonts w:eastAsiaTheme="minorEastAsia" w:hint="eastAsia"/>
        </w:rPr>
        <w:t xml:space="preserve"> </w:t>
      </w:r>
      <w:proofErr w:type="spellStart"/>
      <w:r>
        <w:rPr>
          <w:rFonts w:eastAsiaTheme="minorEastAsia"/>
        </w:rPr>
        <w:t>Long,Ting</w:t>
      </w:r>
      <w:proofErr w:type="spellEnd"/>
      <w:r>
        <w:rPr>
          <w:rFonts w:eastAsiaTheme="minorEastAsia" w:hint="eastAsia"/>
        </w:rPr>
        <w:t xml:space="preserve"> </w:t>
      </w:r>
      <w:proofErr w:type="spellStart"/>
      <w:r>
        <w:rPr>
          <w:rFonts w:eastAsiaTheme="minorEastAsia"/>
        </w:rPr>
        <w:t>Gao,Yiwei</w:t>
      </w:r>
      <w:proofErr w:type="spellEnd"/>
      <w:r>
        <w:rPr>
          <w:rFonts w:eastAsiaTheme="minorEastAsia" w:hint="eastAsia"/>
        </w:rPr>
        <w:t xml:space="preserve"> </w:t>
      </w:r>
      <w:proofErr w:type="spellStart"/>
      <w:r>
        <w:rPr>
          <w:rFonts w:eastAsiaTheme="minorEastAsia"/>
        </w:rPr>
        <w:t>Jiang,Qingchuan</w:t>
      </w:r>
      <w:proofErr w:type="spellEnd"/>
      <w:r>
        <w:rPr>
          <w:rFonts w:eastAsiaTheme="minorEastAsia" w:hint="eastAsia"/>
        </w:rPr>
        <w:t xml:space="preserve"> </w:t>
      </w:r>
      <w:proofErr w:type="spellStart"/>
      <w:r>
        <w:rPr>
          <w:rFonts w:eastAsiaTheme="minorEastAsia"/>
        </w:rPr>
        <w:t>Yang,Zhen</w:t>
      </w:r>
      <w:proofErr w:type="spellEnd"/>
      <w:r>
        <w:rPr>
          <w:rFonts w:eastAsiaTheme="minorEastAsia"/>
        </w:rPr>
        <w:t xml:space="preserve"> </w:t>
      </w:r>
      <w:proofErr w:type="spellStart"/>
      <w:r>
        <w:rPr>
          <w:rFonts w:eastAsiaTheme="minorEastAsia"/>
        </w:rPr>
        <w:t>Wang,Junmei</w:t>
      </w:r>
      <w:proofErr w:type="spellEnd"/>
      <w:r>
        <w:rPr>
          <w:rFonts w:eastAsiaTheme="minorEastAsia"/>
        </w:rPr>
        <w:t xml:space="preserve"> </w:t>
      </w:r>
      <w:proofErr w:type="spellStart"/>
      <w:r>
        <w:rPr>
          <w:rFonts w:eastAsiaTheme="minorEastAsia"/>
        </w:rPr>
        <w:t>Kang.RAD</w:t>
      </w:r>
      <w:proofErr w:type="spellEnd"/>
      <w:r>
        <w:rPr>
          <w:rFonts w:eastAsiaTheme="minorEastAsia"/>
        </w:rPr>
        <w:t xml:space="preserve">-Seq-Based High-Density Linkage Maps Construction and Quantitative Trait Loci Mapping of Flowering Time Trait in Alfalfa (Medicago sativa L.).Frontiers in Plant Science, 2022, </w:t>
      </w:r>
      <w:r>
        <w:rPr>
          <w:rFonts w:eastAsiaTheme="minorEastAsia" w:hint="eastAsia"/>
        </w:rPr>
        <w:t>13:</w:t>
      </w:r>
      <w:r>
        <w:rPr>
          <w:rFonts w:eastAsiaTheme="minorEastAsia"/>
        </w:rPr>
        <w:t xml:space="preserve">899681. </w:t>
      </w:r>
    </w:p>
    <w:p w14:paraId="62303DF8" w14:textId="77777777" w:rsidR="00E85F48" w:rsidRDefault="00DE2CB8">
      <w:pPr>
        <w:numPr>
          <w:ilvl w:val="0"/>
          <w:numId w:val="1"/>
        </w:numPr>
        <w:snapToGrid w:val="0"/>
        <w:spacing w:line="360" w:lineRule="auto"/>
        <w:ind w:firstLineChars="200" w:firstLine="420"/>
        <w:rPr>
          <w:rFonts w:eastAsiaTheme="minorEastAsia"/>
        </w:rPr>
      </w:pPr>
      <w:proofErr w:type="spellStart"/>
      <w:r>
        <w:rPr>
          <w:rFonts w:eastAsiaTheme="minorEastAsia"/>
        </w:rPr>
        <w:t>Yanrong</w:t>
      </w:r>
      <w:proofErr w:type="spellEnd"/>
      <w:r>
        <w:rPr>
          <w:rFonts w:eastAsiaTheme="minorEastAsia"/>
        </w:rPr>
        <w:t xml:space="preserve"> </w:t>
      </w:r>
      <w:proofErr w:type="spellStart"/>
      <w:proofErr w:type="gramStart"/>
      <w:r>
        <w:rPr>
          <w:rFonts w:eastAsiaTheme="minorEastAsia"/>
        </w:rPr>
        <w:t>Ji,Zhihan</w:t>
      </w:r>
      <w:proofErr w:type="spellEnd"/>
      <w:proofErr w:type="gramEnd"/>
      <w:r>
        <w:rPr>
          <w:rFonts w:eastAsiaTheme="minorEastAsia"/>
        </w:rPr>
        <w:t xml:space="preserve"> </w:t>
      </w:r>
      <w:proofErr w:type="spellStart"/>
      <w:r>
        <w:rPr>
          <w:rFonts w:eastAsiaTheme="minorEastAsia"/>
        </w:rPr>
        <w:t>Zhou,Han</w:t>
      </w:r>
      <w:proofErr w:type="spellEnd"/>
      <w:r>
        <w:rPr>
          <w:rFonts w:eastAsiaTheme="minorEastAsia"/>
        </w:rPr>
        <w:t xml:space="preserve"> </w:t>
      </w:r>
      <w:proofErr w:type="spellStart"/>
      <w:r>
        <w:rPr>
          <w:rFonts w:eastAsiaTheme="minorEastAsia"/>
        </w:rPr>
        <w:t>Liu,Ramana</w:t>
      </w:r>
      <w:proofErr w:type="spellEnd"/>
      <w:r>
        <w:rPr>
          <w:rFonts w:eastAsiaTheme="minorEastAsia"/>
        </w:rPr>
        <w:t xml:space="preserve"> V </w:t>
      </w:r>
      <w:proofErr w:type="spellStart"/>
      <w:r>
        <w:rPr>
          <w:rFonts w:eastAsiaTheme="minorEastAsia"/>
        </w:rPr>
        <w:t>Davuluri.DNABERT:pre-trained</w:t>
      </w:r>
      <w:proofErr w:type="spellEnd"/>
      <w:r>
        <w:rPr>
          <w:rFonts w:eastAsiaTheme="minorEastAsia"/>
        </w:rPr>
        <w:t xml:space="preserve"> Bidirectional Encoder Representations from Transformers model for DNA-language in genome. Bioinformatics, 2021,37</w:t>
      </w:r>
      <w:r>
        <w:rPr>
          <w:rFonts w:eastAsiaTheme="minorEastAsia" w:hint="eastAsia"/>
        </w:rPr>
        <w:t>(15):</w:t>
      </w:r>
      <w:r>
        <w:rPr>
          <w:rFonts w:eastAsiaTheme="minorEastAsia"/>
        </w:rPr>
        <w:t>2112-2120.</w:t>
      </w:r>
    </w:p>
    <w:p w14:paraId="6FC64FCF" w14:textId="77777777" w:rsidR="00E85F48" w:rsidRDefault="00DE2CB8">
      <w:pPr>
        <w:numPr>
          <w:ilvl w:val="0"/>
          <w:numId w:val="1"/>
        </w:numPr>
        <w:snapToGrid w:val="0"/>
        <w:spacing w:line="360" w:lineRule="auto"/>
        <w:ind w:firstLineChars="200" w:firstLine="420"/>
        <w:rPr>
          <w:rFonts w:eastAsiaTheme="minorEastAsia"/>
        </w:rPr>
      </w:pPr>
      <w:proofErr w:type="spellStart"/>
      <w:r>
        <w:rPr>
          <w:rFonts w:eastAsiaTheme="minorEastAsia"/>
        </w:rPr>
        <w:t>Žiga</w:t>
      </w:r>
      <w:proofErr w:type="spellEnd"/>
      <w:r>
        <w:rPr>
          <w:rFonts w:eastAsiaTheme="minorEastAsia"/>
        </w:rPr>
        <w:t xml:space="preserve"> </w:t>
      </w:r>
      <w:proofErr w:type="spellStart"/>
      <w:r>
        <w:rPr>
          <w:rFonts w:eastAsiaTheme="minorEastAsia"/>
        </w:rPr>
        <w:t>Avsec</w:t>
      </w:r>
      <w:proofErr w:type="spellEnd"/>
      <w:r>
        <w:rPr>
          <w:rFonts w:eastAsiaTheme="minorEastAsia"/>
        </w:rPr>
        <w:t xml:space="preserve">, Vikram Agarwal, Daniel Visentin, Joseph R. </w:t>
      </w:r>
      <w:proofErr w:type="spellStart"/>
      <w:r>
        <w:rPr>
          <w:rFonts w:eastAsiaTheme="minorEastAsia"/>
        </w:rPr>
        <w:t>Ledsam</w:t>
      </w:r>
      <w:proofErr w:type="spellEnd"/>
      <w:r>
        <w:rPr>
          <w:rFonts w:eastAsiaTheme="minorEastAsia"/>
        </w:rPr>
        <w:t xml:space="preserve">, Agnieszka </w:t>
      </w:r>
      <w:proofErr w:type="spellStart"/>
      <w:r>
        <w:rPr>
          <w:rFonts w:eastAsiaTheme="minorEastAsia"/>
        </w:rPr>
        <w:t>Grabska-Barwinska</w:t>
      </w:r>
      <w:proofErr w:type="spellEnd"/>
      <w:r>
        <w:rPr>
          <w:rFonts w:eastAsiaTheme="minorEastAsia"/>
        </w:rPr>
        <w:t xml:space="preserve">, Kyle R. Taylor, Yannis </w:t>
      </w:r>
      <w:proofErr w:type="spellStart"/>
      <w:r>
        <w:rPr>
          <w:rFonts w:eastAsiaTheme="minorEastAsia"/>
        </w:rPr>
        <w:t>Assael</w:t>
      </w:r>
      <w:proofErr w:type="spellEnd"/>
      <w:r>
        <w:rPr>
          <w:rFonts w:eastAsiaTheme="minorEastAsia"/>
        </w:rPr>
        <w:t>, Joh</w:t>
      </w:r>
      <w:r>
        <w:rPr>
          <w:rFonts w:eastAsiaTheme="minorEastAsia"/>
        </w:rPr>
        <w:t xml:space="preserve">n Jumper, </w:t>
      </w:r>
      <w:proofErr w:type="spellStart"/>
      <w:r>
        <w:rPr>
          <w:rFonts w:eastAsiaTheme="minorEastAsia"/>
        </w:rPr>
        <w:t>Pushmeet</w:t>
      </w:r>
      <w:proofErr w:type="spellEnd"/>
      <w:r>
        <w:rPr>
          <w:rFonts w:eastAsiaTheme="minorEastAsia"/>
        </w:rPr>
        <w:t xml:space="preserve"> Kohli &amp; David R. </w:t>
      </w:r>
      <w:proofErr w:type="spellStart"/>
      <w:r>
        <w:rPr>
          <w:rFonts w:eastAsiaTheme="minorEastAsia"/>
        </w:rPr>
        <w:t>Kelley.Effective</w:t>
      </w:r>
      <w:proofErr w:type="spellEnd"/>
      <w:r>
        <w:rPr>
          <w:rFonts w:eastAsiaTheme="minorEastAsia"/>
        </w:rPr>
        <w:t xml:space="preserve"> gene expression prediction from sequence by integrating long-range interactions. Nature Methods, 2021,18</w:t>
      </w:r>
      <w:r>
        <w:rPr>
          <w:rFonts w:eastAsiaTheme="minorEastAsia" w:hint="eastAsia"/>
        </w:rPr>
        <w:t>(10):</w:t>
      </w:r>
      <w:r>
        <w:rPr>
          <w:rFonts w:eastAsiaTheme="minorEastAsia"/>
        </w:rPr>
        <w:t>1196-1203.</w:t>
      </w:r>
    </w:p>
    <w:p w14:paraId="25F0B256" w14:textId="77777777" w:rsidR="00E85F48" w:rsidRDefault="00DE2CB8">
      <w:pPr>
        <w:numPr>
          <w:ilvl w:val="0"/>
          <w:numId w:val="1"/>
        </w:numPr>
        <w:snapToGrid w:val="0"/>
        <w:spacing w:line="360" w:lineRule="auto"/>
        <w:ind w:firstLineChars="200" w:firstLine="420"/>
        <w:rPr>
          <w:rFonts w:eastAsiaTheme="minorEastAsia"/>
        </w:rPr>
      </w:pPr>
      <w:r>
        <w:rPr>
          <w:rFonts w:eastAsiaTheme="minorEastAsia"/>
        </w:rPr>
        <w:t xml:space="preserve">Tom Brown, Benjamin Mann, Nick Ryder, Melanie Subbiah, Jared D Kaplan, Prafulla Dhariwal, Arvind Neelakantan, Pranav Shyam, Girish Sastry, Amanda </w:t>
      </w:r>
      <w:proofErr w:type="spellStart"/>
      <w:r>
        <w:rPr>
          <w:rFonts w:eastAsiaTheme="minorEastAsia"/>
        </w:rPr>
        <w:t>Askell</w:t>
      </w:r>
      <w:proofErr w:type="spellEnd"/>
      <w:r>
        <w:rPr>
          <w:rFonts w:eastAsiaTheme="minorEastAsia"/>
        </w:rPr>
        <w:t xml:space="preserve">, </w:t>
      </w:r>
      <w:proofErr w:type="spellStart"/>
      <w:r>
        <w:rPr>
          <w:rFonts w:eastAsiaTheme="minorEastAsia"/>
        </w:rPr>
        <w:t>Sandhini</w:t>
      </w:r>
      <w:proofErr w:type="spellEnd"/>
      <w:r>
        <w:rPr>
          <w:rFonts w:eastAsiaTheme="minorEastAsia"/>
        </w:rPr>
        <w:t xml:space="preserve"> Agarwal, Ariel Herbert-Voss, Gretchen Krueger, Tom Henighan, Rewon Child, Aditya Ramesh, Dani</w:t>
      </w:r>
      <w:r>
        <w:rPr>
          <w:rFonts w:eastAsiaTheme="minorEastAsia"/>
        </w:rPr>
        <w:t xml:space="preserve">el Ziegler, Jeffrey Wu, Clemens Winter, Chris Hesse, Mark Chen, Eric Sigler, Mateusz Litwin, Scott Gray, Benjamin Chess, Jack Clark, Christopher Berner, Sam McCandlish, Alec Radford, Ilya </w:t>
      </w:r>
      <w:proofErr w:type="spellStart"/>
      <w:r>
        <w:rPr>
          <w:rFonts w:eastAsiaTheme="minorEastAsia"/>
        </w:rPr>
        <w:t>Sutskever</w:t>
      </w:r>
      <w:proofErr w:type="spellEnd"/>
      <w:r>
        <w:rPr>
          <w:rFonts w:eastAsiaTheme="minorEastAsia"/>
        </w:rPr>
        <w:t xml:space="preserve">, Dario </w:t>
      </w:r>
      <w:proofErr w:type="spellStart"/>
      <w:r>
        <w:rPr>
          <w:rFonts w:eastAsiaTheme="minorEastAsia"/>
        </w:rPr>
        <w:t>Amodei</w:t>
      </w:r>
      <w:proofErr w:type="spellEnd"/>
      <w:r>
        <w:rPr>
          <w:rFonts w:eastAsiaTheme="minorEastAsia"/>
        </w:rPr>
        <w:t xml:space="preserve">. Language Models are Few-Shot </w:t>
      </w:r>
      <w:proofErr w:type="spellStart"/>
      <w:r>
        <w:rPr>
          <w:rFonts w:eastAsiaTheme="minorEastAsia"/>
        </w:rPr>
        <w:t>Learners.Advan</w:t>
      </w:r>
      <w:r>
        <w:rPr>
          <w:rFonts w:eastAsiaTheme="minorEastAsia"/>
        </w:rPr>
        <w:t>ces</w:t>
      </w:r>
      <w:proofErr w:type="spellEnd"/>
      <w:r>
        <w:rPr>
          <w:rFonts w:eastAsiaTheme="minorEastAsia"/>
        </w:rPr>
        <w:t xml:space="preserve"> in Neural Information Processing Systems, 2020,33</w:t>
      </w:r>
      <w:r>
        <w:rPr>
          <w:rFonts w:eastAsiaTheme="minorEastAsia" w:hint="eastAsia"/>
        </w:rPr>
        <w:t>,1877-</w:t>
      </w:r>
      <w:proofErr w:type="gramStart"/>
      <w:r>
        <w:rPr>
          <w:rFonts w:eastAsiaTheme="minorEastAsia" w:hint="eastAsia"/>
        </w:rPr>
        <w:t>1901</w:t>
      </w:r>
      <w:r>
        <w:rPr>
          <w:rFonts w:eastAsiaTheme="minorEastAsia"/>
        </w:rPr>
        <w:t xml:space="preserve"> .</w:t>
      </w:r>
      <w:proofErr w:type="gramEnd"/>
    </w:p>
    <w:p w14:paraId="1DF643B8" w14:textId="77777777" w:rsidR="00E85F48" w:rsidRDefault="00DE2CB8">
      <w:pPr>
        <w:numPr>
          <w:ilvl w:val="0"/>
          <w:numId w:val="1"/>
        </w:numPr>
        <w:snapToGrid w:val="0"/>
        <w:spacing w:line="360" w:lineRule="auto"/>
        <w:ind w:firstLineChars="200" w:firstLine="420"/>
        <w:rPr>
          <w:rFonts w:eastAsiaTheme="minorEastAsia"/>
        </w:rPr>
      </w:pPr>
      <w:r>
        <w:rPr>
          <w:rFonts w:eastAsiaTheme="minorEastAsia"/>
        </w:rPr>
        <w:t xml:space="preserve">Santosh </w:t>
      </w:r>
      <w:proofErr w:type="gramStart"/>
      <w:r>
        <w:rPr>
          <w:rFonts w:eastAsiaTheme="minorEastAsia"/>
        </w:rPr>
        <w:t>Nayak ,</w:t>
      </w:r>
      <w:proofErr w:type="gramEnd"/>
      <w:r>
        <w:rPr>
          <w:rFonts w:eastAsiaTheme="minorEastAsia"/>
        </w:rPr>
        <w:t xml:space="preserve"> Hem Bhandari , Malay C. Saha , Shahjahan Ali, Carl </w:t>
      </w:r>
      <w:proofErr w:type="spellStart"/>
      <w:r>
        <w:rPr>
          <w:rFonts w:eastAsiaTheme="minorEastAsia"/>
        </w:rPr>
        <w:t>Sams</w:t>
      </w:r>
      <w:proofErr w:type="spellEnd"/>
      <w:r>
        <w:rPr>
          <w:rFonts w:eastAsiaTheme="minorEastAsia"/>
        </w:rPr>
        <w:t>, Vince</w:t>
      </w:r>
      <w:r>
        <w:rPr>
          <w:rFonts w:eastAsiaTheme="minorEastAsia" w:hint="eastAsia"/>
        </w:rPr>
        <w:t xml:space="preserve"> </w:t>
      </w:r>
      <w:proofErr w:type="spellStart"/>
      <w:r>
        <w:rPr>
          <w:rFonts w:eastAsiaTheme="minorEastAsia"/>
        </w:rPr>
        <w:t>Pantalone.Identification</w:t>
      </w:r>
      <w:proofErr w:type="spellEnd"/>
      <w:r>
        <w:rPr>
          <w:rFonts w:eastAsiaTheme="minorEastAsia"/>
        </w:rPr>
        <w:t xml:space="preserve"> of QTL Associated with Regrowth Vigor Using the Nested Association Mapping Population </w:t>
      </w:r>
      <w:r>
        <w:rPr>
          <w:rFonts w:eastAsiaTheme="minorEastAsia"/>
        </w:rPr>
        <w:t xml:space="preserve">in </w:t>
      </w:r>
      <w:proofErr w:type="spellStart"/>
      <w:r>
        <w:rPr>
          <w:rFonts w:eastAsiaTheme="minorEastAsia"/>
        </w:rPr>
        <w:t>Switchgrass,Plants</w:t>
      </w:r>
      <w:proofErr w:type="spellEnd"/>
      <w:r>
        <w:rPr>
          <w:rFonts w:eastAsiaTheme="minorEastAsia"/>
        </w:rPr>
        <w:t>, 2022,11(4): 566.</w:t>
      </w:r>
    </w:p>
    <w:p w14:paraId="0B909F59" w14:textId="77777777" w:rsidR="00E85F48" w:rsidRDefault="00DE2CB8">
      <w:pPr>
        <w:numPr>
          <w:ilvl w:val="0"/>
          <w:numId w:val="1"/>
        </w:numPr>
        <w:snapToGrid w:val="0"/>
        <w:spacing w:line="360" w:lineRule="auto"/>
        <w:ind w:firstLineChars="200" w:firstLine="420"/>
        <w:rPr>
          <w:rFonts w:eastAsiaTheme="minorEastAsia"/>
        </w:rPr>
      </w:pPr>
      <w:proofErr w:type="spellStart"/>
      <w:r>
        <w:rPr>
          <w:rFonts w:eastAsiaTheme="minorEastAsia"/>
        </w:rPr>
        <w:t>Oluwaseyi</w:t>
      </w:r>
      <w:proofErr w:type="spellEnd"/>
      <w:r>
        <w:rPr>
          <w:rFonts w:eastAsiaTheme="minorEastAsia"/>
        </w:rPr>
        <w:t xml:space="preserve"> </w:t>
      </w:r>
      <w:proofErr w:type="spellStart"/>
      <w:r>
        <w:rPr>
          <w:rFonts w:eastAsiaTheme="minorEastAsia"/>
        </w:rPr>
        <w:t>Shorinola</w:t>
      </w:r>
      <w:proofErr w:type="spellEnd"/>
      <w:r>
        <w:rPr>
          <w:rFonts w:eastAsiaTheme="minorEastAsia"/>
        </w:rPr>
        <w:t xml:space="preserve">, Rose Marks, Peter Emmrich, Chris Jones, Damaris </w:t>
      </w:r>
      <w:proofErr w:type="spellStart"/>
      <w:r>
        <w:rPr>
          <w:rFonts w:eastAsiaTheme="minorEastAsia"/>
        </w:rPr>
        <w:t>Odeny</w:t>
      </w:r>
      <w:proofErr w:type="spellEnd"/>
      <w:r>
        <w:rPr>
          <w:rFonts w:eastAsiaTheme="minorEastAsia" w:hint="eastAsia"/>
        </w:rPr>
        <w:t xml:space="preserve">, </w:t>
      </w:r>
      <w:r>
        <w:rPr>
          <w:rFonts w:eastAsiaTheme="minorEastAsia"/>
        </w:rPr>
        <w:t xml:space="preserve">Mark A. </w:t>
      </w:r>
      <w:proofErr w:type="gramStart"/>
      <w:r>
        <w:rPr>
          <w:rFonts w:eastAsiaTheme="minorEastAsia"/>
        </w:rPr>
        <w:t>Chapman .Integrative</w:t>
      </w:r>
      <w:proofErr w:type="gramEnd"/>
      <w:r>
        <w:rPr>
          <w:rFonts w:eastAsiaTheme="minorEastAsia"/>
        </w:rPr>
        <w:t xml:space="preserve"> and inclusive genomics to promote the use of </w:t>
      </w:r>
      <w:proofErr w:type="spellStart"/>
      <w:r>
        <w:rPr>
          <w:rFonts w:eastAsiaTheme="minorEastAsia"/>
        </w:rPr>
        <w:t>underutilised</w:t>
      </w:r>
      <w:proofErr w:type="spellEnd"/>
      <w:r>
        <w:rPr>
          <w:rFonts w:eastAsiaTheme="minorEastAsia"/>
        </w:rPr>
        <w:t xml:space="preserve"> </w:t>
      </w:r>
      <w:proofErr w:type="spellStart"/>
      <w:r>
        <w:rPr>
          <w:rFonts w:eastAsiaTheme="minorEastAsia"/>
        </w:rPr>
        <w:t>crops.Nature</w:t>
      </w:r>
      <w:proofErr w:type="spellEnd"/>
      <w:r>
        <w:rPr>
          <w:rFonts w:eastAsiaTheme="minorEastAsia"/>
        </w:rPr>
        <w:t xml:space="preserve"> Communications, 2024, 15:320.</w:t>
      </w:r>
    </w:p>
    <w:p w14:paraId="463DC0F8" w14:textId="77777777" w:rsidR="00E85F48" w:rsidRDefault="00DE2CB8">
      <w:pPr>
        <w:numPr>
          <w:ilvl w:val="0"/>
          <w:numId w:val="1"/>
        </w:numPr>
        <w:snapToGrid w:val="0"/>
        <w:spacing w:line="360" w:lineRule="auto"/>
        <w:ind w:firstLineChars="200" w:firstLine="420"/>
        <w:rPr>
          <w:rFonts w:eastAsiaTheme="minorEastAsia"/>
        </w:rPr>
      </w:pPr>
      <w:r>
        <w:rPr>
          <w:rFonts w:eastAsiaTheme="minorEastAsia"/>
        </w:rPr>
        <w:t>Hui Wang,</w:t>
      </w:r>
      <w:r>
        <w:rPr>
          <w:rFonts w:eastAsiaTheme="minorEastAsia"/>
        </w:rPr>
        <w:t xml:space="preserve"> </w:t>
      </w:r>
      <w:proofErr w:type="spellStart"/>
      <w:r>
        <w:rPr>
          <w:rFonts w:eastAsiaTheme="minorEastAsia"/>
        </w:rPr>
        <w:t>Boyuan</w:t>
      </w:r>
      <w:proofErr w:type="spellEnd"/>
      <w:r>
        <w:rPr>
          <w:rFonts w:eastAsiaTheme="minorEastAsia"/>
        </w:rPr>
        <w:t xml:space="preserve"> Li, </w:t>
      </w:r>
      <w:proofErr w:type="spellStart"/>
      <w:r>
        <w:rPr>
          <w:rFonts w:eastAsiaTheme="minorEastAsia"/>
        </w:rPr>
        <w:t>Linyu</w:t>
      </w:r>
      <w:proofErr w:type="spellEnd"/>
      <w:r>
        <w:rPr>
          <w:rFonts w:eastAsiaTheme="minorEastAsia"/>
        </w:rPr>
        <w:t xml:space="preserve"> </w:t>
      </w:r>
      <w:proofErr w:type="spellStart"/>
      <w:r>
        <w:rPr>
          <w:rFonts w:eastAsiaTheme="minorEastAsia"/>
        </w:rPr>
        <w:t>Zuo</w:t>
      </w:r>
      <w:proofErr w:type="spellEnd"/>
      <w:r>
        <w:rPr>
          <w:rFonts w:eastAsiaTheme="minorEastAsia"/>
        </w:rPr>
        <w:t xml:space="preserve">, Bo Wang, Yan </w:t>
      </w:r>
      <w:proofErr w:type="spellStart"/>
      <w:r>
        <w:rPr>
          <w:rFonts w:eastAsiaTheme="minorEastAsia"/>
        </w:rPr>
        <w:t>Yan</w:t>
      </w:r>
      <w:proofErr w:type="spellEnd"/>
      <w:r>
        <w:rPr>
          <w:rFonts w:eastAsiaTheme="minorEastAsia"/>
        </w:rPr>
        <w:t xml:space="preserve">, Kai Tian, Rong Zhou, </w:t>
      </w:r>
      <w:proofErr w:type="spellStart"/>
      <w:r>
        <w:rPr>
          <w:rFonts w:eastAsiaTheme="minorEastAsia"/>
        </w:rPr>
        <w:t>Chenlu</w:t>
      </w:r>
      <w:proofErr w:type="spellEnd"/>
      <w:r>
        <w:rPr>
          <w:rFonts w:eastAsiaTheme="minorEastAsia"/>
        </w:rPr>
        <w:t xml:space="preserve"> Wang, </w:t>
      </w:r>
      <w:proofErr w:type="spellStart"/>
      <w:r>
        <w:rPr>
          <w:rFonts w:eastAsiaTheme="minorEastAsia"/>
        </w:rPr>
        <w:t>Xizi</w:t>
      </w:r>
      <w:proofErr w:type="spellEnd"/>
      <w:r>
        <w:rPr>
          <w:rFonts w:eastAsiaTheme="minorEastAsia"/>
        </w:rPr>
        <w:t xml:space="preserve"> Chen, </w:t>
      </w:r>
      <w:proofErr w:type="spellStart"/>
      <w:r>
        <w:rPr>
          <w:rFonts w:eastAsiaTheme="minorEastAsia"/>
        </w:rPr>
        <w:t>Yongpeng</w:t>
      </w:r>
      <w:proofErr w:type="spellEnd"/>
      <w:r>
        <w:rPr>
          <w:rFonts w:eastAsiaTheme="minorEastAsia"/>
        </w:rPr>
        <w:t xml:space="preserve"> Jiang, </w:t>
      </w:r>
      <w:proofErr w:type="spellStart"/>
      <w:r>
        <w:rPr>
          <w:rFonts w:eastAsiaTheme="minorEastAsia"/>
        </w:rPr>
        <w:t>Haonan</w:t>
      </w:r>
      <w:proofErr w:type="spellEnd"/>
      <w:r>
        <w:rPr>
          <w:rFonts w:eastAsiaTheme="minorEastAsia"/>
        </w:rPr>
        <w:t xml:space="preserve"> Zheng, </w:t>
      </w:r>
      <w:proofErr w:type="spellStart"/>
      <w:r>
        <w:rPr>
          <w:rFonts w:eastAsiaTheme="minorEastAsia"/>
        </w:rPr>
        <w:t>Fangfei</w:t>
      </w:r>
      <w:proofErr w:type="spellEnd"/>
      <w:r>
        <w:rPr>
          <w:rFonts w:eastAsiaTheme="minorEastAsia"/>
        </w:rPr>
        <w:t xml:space="preserve"> Qin, Bin Zhang, Yang Yu, Chao-Pei Liu, </w:t>
      </w:r>
      <w:proofErr w:type="spellStart"/>
      <w:r>
        <w:rPr>
          <w:rFonts w:eastAsiaTheme="minorEastAsia"/>
        </w:rPr>
        <w:t>Yanhui</w:t>
      </w:r>
      <w:proofErr w:type="spellEnd"/>
      <w:r>
        <w:rPr>
          <w:rFonts w:eastAsiaTheme="minorEastAsia"/>
        </w:rPr>
        <w:t xml:space="preserve"> Xu, </w:t>
      </w:r>
      <w:proofErr w:type="spellStart"/>
      <w:r>
        <w:rPr>
          <w:rFonts w:eastAsiaTheme="minorEastAsia"/>
        </w:rPr>
        <w:t>Juntao</w:t>
      </w:r>
      <w:proofErr w:type="spellEnd"/>
      <w:r>
        <w:rPr>
          <w:rFonts w:eastAsiaTheme="minorEastAsia"/>
        </w:rPr>
        <w:t xml:space="preserve"> Gao, </w:t>
      </w:r>
      <w:proofErr w:type="spellStart"/>
      <w:r>
        <w:rPr>
          <w:rFonts w:eastAsiaTheme="minorEastAsia"/>
        </w:rPr>
        <w:t>Zhi</w:t>
      </w:r>
      <w:proofErr w:type="spellEnd"/>
      <w:r>
        <w:rPr>
          <w:rFonts w:eastAsiaTheme="minorEastAsia"/>
        </w:rPr>
        <w:t xml:space="preserve"> Qi, </w:t>
      </w:r>
      <w:proofErr w:type="spellStart"/>
      <w:r>
        <w:rPr>
          <w:rFonts w:eastAsiaTheme="minorEastAsia"/>
        </w:rPr>
        <w:t>Wulan</w:t>
      </w:r>
      <w:proofErr w:type="spellEnd"/>
      <w:r>
        <w:rPr>
          <w:rFonts w:eastAsiaTheme="minorEastAsia"/>
        </w:rPr>
        <w:t xml:space="preserve"> </w:t>
      </w:r>
      <w:proofErr w:type="spellStart"/>
      <w:proofErr w:type="gramStart"/>
      <w:r>
        <w:rPr>
          <w:rFonts w:eastAsiaTheme="minorEastAsia"/>
        </w:rPr>
        <w:t>Deng</w:t>
      </w:r>
      <w:r>
        <w:rPr>
          <w:rFonts w:eastAsiaTheme="minorEastAsia" w:hint="eastAsia"/>
        </w:rPr>
        <w:t>,</w:t>
      </w:r>
      <w:r>
        <w:rPr>
          <w:rFonts w:eastAsiaTheme="minorEastAsia"/>
        </w:rPr>
        <w:t>Xiong</w:t>
      </w:r>
      <w:proofErr w:type="spellEnd"/>
      <w:proofErr w:type="gramEnd"/>
      <w:r>
        <w:rPr>
          <w:rFonts w:eastAsiaTheme="minorEastAsia"/>
        </w:rPr>
        <w:t xml:space="preserve"> </w:t>
      </w:r>
      <w:proofErr w:type="spellStart"/>
      <w:r>
        <w:rPr>
          <w:rFonts w:eastAsiaTheme="minorEastAsia"/>
        </w:rPr>
        <w:t>Ji.The</w:t>
      </w:r>
      <w:proofErr w:type="spellEnd"/>
      <w:r>
        <w:rPr>
          <w:rFonts w:eastAsiaTheme="minorEastAsia"/>
        </w:rPr>
        <w:t xml:space="preserve"> transcriptional coactivator RUVBL2 reg</w:t>
      </w:r>
      <w:r>
        <w:rPr>
          <w:rFonts w:eastAsiaTheme="minorEastAsia"/>
        </w:rPr>
        <w:t>ulates Pol II clustering with diverse transcription factors. Nature Communications, 2022,13(1)</w:t>
      </w:r>
      <w:r>
        <w:rPr>
          <w:rFonts w:eastAsiaTheme="minorEastAsia" w:hint="eastAsia"/>
        </w:rPr>
        <w:t>:</w:t>
      </w:r>
      <w:r>
        <w:rPr>
          <w:rFonts w:eastAsiaTheme="minorEastAsia"/>
        </w:rPr>
        <w:t>5703.</w:t>
      </w:r>
    </w:p>
    <w:p w14:paraId="4A20C74E" w14:textId="77777777" w:rsidR="00E85F48" w:rsidRDefault="00DE2CB8">
      <w:pPr>
        <w:numPr>
          <w:ilvl w:val="0"/>
          <w:numId w:val="1"/>
        </w:numPr>
        <w:snapToGrid w:val="0"/>
        <w:spacing w:line="360" w:lineRule="auto"/>
        <w:ind w:firstLineChars="200" w:firstLine="420"/>
        <w:rPr>
          <w:rFonts w:eastAsiaTheme="minorEastAsia"/>
        </w:rPr>
      </w:pPr>
      <w:r>
        <w:rPr>
          <w:rFonts w:eastAsiaTheme="minorEastAsia" w:hint="eastAsia"/>
        </w:rPr>
        <w:t>刘</w:t>
      </w:r>
      <w:r>
        <w:rPr>
          <w:rFonts w:eastAsia="楷体"/>
          <w:sz w:val="20"/>
          <w:szCs w:val="20"/>
        </w:rPr>
        <w:t>家俊</w:t>
      </w:r>
      <w:r>
        <w:rPr>
          <w:rFonts w:eastAsia="楷体"/>
          <w:sz w:val="20"/>
          <w:szCs w:val="20"/>
        </w:rPr>
        <w:t xml:space="preserve">, </w:t>
      </w:r>
      <w:r>
        <w:rPr>
          <w:rFonts w:eastAsia="楷体"/>
          <w:sz w:val="20"/>
          <w:szCs w:val="20"/>
        </w:rPr>
        <w:t>陈琛</w:t>
      </w:r>
      <w:r>
        <w:rPr>
          <w:rFonts w:eastAsia="楷体"/>
          <w:sz w:val="20"/>
          <w:szCs w:val="20"/>
        </w:rPr>
        <w:t xml:space="preserve">, </w:t>
      </w:r>
      <w:r>
        <w:rPr>
          <w:rFonts w:eastAsia="楷体"/>
          <w:sz w:val="20"/>
          <w:szCs w:val="20"/>
        </w:rPr>
        <w:t>温明星</w:t>
      </w:r>
      <w:r>
        <w:rPr>
          <w:rFonts w:eastAsia="楷体"/>
          <w:sz w:val="20"/>
          <w:szCs w:val="20"/>
        </w:rPr>
        <w:t xml:space="preserve">, </w:t>
      </w:r>
      <w:r>
        <w:rPr>
          <w:rFonts w:eastAsia="楷体"/>
          <w:sz w:val="20"/>
          <w:szCs w:val="20"/>
        </w:rPr>
        <w:t>郭瑞</w:t>
      </w:r>
      <w:r>
        <w:rPr>
          <w:rFonts w:eastAsia="楷体"/>
          <w:sz w:val="20"/>
          <w:szCs w:val="20"/>
        </w:rPr>
        <w:t xml:space="preserve">, </w:t>
      </w:r>
      <w:r>
        <w:rPr>
          <w:rFonts w:eastAsia="楷体"/>
          <w:sz w:val="20"/>
          <w:szCs w:val="20"/>
        </w:rPr>
        <w:t>姚维成</w:t>
      </w:r>
      <w:r>
        <w:rPr>
          <w:rFonts w:eastAsia="楷体"/>
          <w:sz w:val="20"/>
          <w:szCs w:val="20"/>
        </w:rPr>
        <w:t xml:space="preserve">, </w:t>
      </w:r>
      <w:r>
        <w:rPr>
          <w:rFonts w:eastAsia="楷体"/>
          <w:sz w:val="20"/>
          <w:szCs w:val="20"/>
        </w:rPr>
        <w:t>李东升</w:t>
      </w:r>
      <w:r>
        <w:rPr>
          <w:rFonts w:eastAsia="楷体"/>
          <w:sz w:val="20"/>
          <w:szCs w:val="20"/>
        </w:rPr>
        <w:t>.</w:t>
      </w:r>
      <w:proofErr w:type="gramStart"/>
      <w:r>
        <w:rPr>
          <w:rFonts w:eastAsia="楷体"/>
          <w:sz w:val="20"/>
          <w:szCs w:val="20"/>
        </w:rPr>
        <w:t>基于共表达</w:t>
      </w:r>
      <w:proofErr w:type="gramEnd"/>
      <w:r>
        <w:rPr>
          <w:rFonts w:eastAsia="楷体"/>
          <w:sz w:val="20"/>
          <w:szCs w:val="20"/>
        </w:rPr>
        <w:t>网络和蛋白互作分析挖掘小麦赤霉病抗性相关核心蛋白</w:t>
      </w:r>
      <w:r>
        <w:rPr>
          <w:rFonts w:eastAsia="楷体"/>
          <w:sz w:val="20"/>
          <w:szCs w:val="20"/>
        </w:rPr>
        <w:t xml:space="preserve">. </w:t>
      </w:r>
      <w:r>
        <w:rPr>
          <w:rFonts w:eastAsia="楷体"/>
          <w:sz w:val="20"/>
          <w:szCs w:val="20"/>
        </w:rPr>
        <w:t>生物技术进展</w:t>
      </w:r>
      <w:r>
        <w:rPr>
          <w:rFonts w:eastAsia="楷体"/>
          <w:sz w:val="20"/>
          <w:szCs w:val="20"/>
        </w:rPr>
        <w:t>, 2021,11(05):628-633.</w:t>
      </w:r>
    </w:p>
    <w:p w14:paraId="668AD3AD" w14:textId="77777777" w:rsidR="00E85F48" w:rsidRDefault="00DE2CB8">
      <w:pPr>
        <w:numPr>
          <w:ilvl w:val="0"/>
          <w:numId w:val="1"/>
        </w:numPr>
        <w:snapToGrid w:val="0"/>
        <w:spacing w:line="360" w:lineRule="auto"/>
        <w:ind w:firstLineChars="200" w:firstLine="400"/>
        <w:rPr>
          <w:rFonts w:eastAsiaTheme="minorEastAsia"/>
        </w:rPr>
      </w:pPr>
      <w:proofErr w:type="spellStart"/>
      <w:r>
        <w:rPr>
          <w:rFonts w:eastAsia="楷体"/>
          <w:sz w:val="20"/>
          <w:szCs w:val="20"/>
        </w:rPr>
        <w:t>Kassa</w:t>
      </w:r>
      <w:proofErr w:type="spellEnd"/>
      <w:r>
        <w:rPr>
          <w:rFonts w:eastAsia="楷体"/>
          <w:sz w:val="20"/>
          <w:szCs w:val="20"/>
        </w:rPr>
        <w:t xml:space="preserve"> </w:t>
      </w:r>
      <w:proofErr w:type="spellStart"/>
      <w:proofErr w:type="gramStart"/>
      <w:r>
        <w:rPr>
          <w:rFonts w:eastAsia="楷体"/>
          <w:sz w:val="20"/>
          <w:szCs w:val="20"/>
        </w:rPr>
        <w:t>Semagn</w:t>
      </w:r>
      <w:proofErr w:type="spellEnd"/>
      <w:r>
        <w:rPr>
          <w:rFonts w:eastAsia="楷体"/>
          <w:sz w:val="20"/>
          <w:szCs w:val="20"/>
        </w:rPr>
        <w:t xml:space="preserve"> ,</w:t>
      </w:r>
      <w:proofErr w:type="gramEnd"/>
      <w:r>
        <w:rPr>
          <w:rFonts w:eastAsia="楷体"/>
          <w:sz w:val="20"/>
          <w:szCs w:val="20"/>
        </w:rPr>
        <w:t xml:space="preserve"> Muhammad Iqbal, Diego Jarquin, José Crossa, </w:t>
      </w:r>
      <w:proofErr w:type="spellStart"/>
      <w:r>
        <w:rPr>
          <w:rFonts w:eastAsia="楷体"/>
          <w:sz w:val="20"/>
          <w:szCs w:val="20"/>
        </w:rPr>
        <w:t>Reka</w:t>
      </w:r>
      <w:proofErr w:type="spellEnd"/>
      <w:r>
        <w:rPr>
          <w:rFonts w:eastAsia="楷体"/>
          <w:sz w:val="20"/>
          <w:szCs w:val="20"/>
        </w:rPr>
        <w:t xml:space="preserve"> Howa</w:t>
      </w:r>
      <w:r>
        <w:rPr>
          <w:rFonts w:eastAsia="楷体"/>
          <w:sz w:val="20"/>
          <w:szCs w:val="20"/>
        </w:rPr>
        <w:t xml:space="preserve">rd, Izabela </w:t>
      </w:r>
      <w:proofErr w:type="spellStart"/>
      <w:r>
        <w:rPr>
          <w:rFonts w:eastAsia="楷体"/>
          <w:sz w:val="20"/>
          <w:szCs w:val="20"/>
        </w:rPr>
        <w:t>Ciechanowska</w:t>
      </w:r>
      <w:proofErr w:type="spellEnd"/>
      <w:r>
        <w:rPr>
          <w:rFonts w:eastAsia="楷体"/>
          <w:sz w:val="20"/>
          <w:szCs w:val="20"/>
        </w:rPr>
        <w:t xml:space="preserve">, Maria Antonia Henriquez , </w:t>
      </w:r>
      <w:proofErr w:type="spellStart"/>
      <w:r>
        <w:rPr>
          <w:rFonts w:eastAsia="楷体"/>
          <w:sz w:val="20"/>
          <w:szCs w:val="20"/>
        </w:rPr>
        <w:t>Harpinder</w:t>
      </w:r>
      <w:proofErr w:type="spellEnd"/>
      <w:r>
        <w:rPr>
          <w:rFonts w:eastAsia="楷体"/>
          <w:sz w:val="20"/>
          <w:szCs w:val="20"/>
        </w:rPr>
        <w:t xml:space="preserve"> Randhawa, Reem </w:t>
      </w:r>
      <w:proofErr w:type="spellStart"/>
      <w:r>
        <w:rPr>
          <w:rFonts w:eastAsia="楷体"/>
          <w:sz w:val="20"/>
          <w:szCs w:val="20"/>
        </w:rPr>
        <w:t>Aboukhaddour</w:t>
      </w:r>
      <w:proofErr w:type="spellEnd"/>
      <w:r>
        <w:rPr>
          <w:rFonts w:eastAsia="楷体"/>
          <w:sz w:val="20"/>
          <w:szCs w:val="20"/>
        </w:rPr>
        <w:t xml:space="preserve">, Brent D. McCallum, Anita L. </w:t>
      </w:r>
      <w:proofErr w:type="spellStart"/>
      <w:r>
        <w:rPr>
          <w:rFonts w:eastAsia="楷体"/>
          <w:sz w:val="20"/>
          <w:szCs w:val="20"/>
        </w:rPr>
        <w:t>Brûlé</w:t>
      </w:r>
      <w:proofErr w:type="spellEnd"/>
      <w:r>
        <w:rPr>
          <w:rFonts w:eastAsia="楷体"/>
          <w:sz w:val="20"/>
          <w:szCs w:val="20"/>
        </w:rPr>
        <w:t xml:space="preserve">-Babel, Alireza </w:t>
      </w:r>
      <w:proofErr w:type="spellStart"/>
      <w:r>
        <w:rPr>
          <w:rFonts w:eastAsia="楷体"/>
          <w:sz w:val="20"/>
          <w:szCs w:val="20"/>
        </w:rPr>
        <w:t>Navabi</w:t>
      </w:r>
      <w:proofErr w:type="spellEnd"/>
      <w:r>
        <w:rPr>
          <w:rFonts w:eastAsia="楷体"/>
          <w:sz w:val="20"/>
          <w:szCs w:val="20"/>
        </w:rPr>
        <w:t xml:space="preserve">, </w:t>
      </w:r>
      <w:proofErr w:type="spellStart"/>
      <w:r>
        <w:rPr>
          <w:rFonts w:eastAsia="楷体"/>
          <w:sz w:val="20"/>
          <w:szCs w:val="20"/>
        </w:rPr>
        <w:t>Amidou</w:t>
      </w:r>
      <w:proofErr w:type="spellEnd"/>
      <w:r>
        <w:rPr>
          <w:rFonts w:eastAsia="楷体"/>
          <w:sz w:val="20"/>
          <w:szCs w:val="20"/>
        </w:rPr>
        <w:t xml:space="preserve"> </w:t>
      </w:r>
      <w:proofErr w:type="spellStart"/>
      <w:r>
        <w:rPr>
          <w:rFonts w:eastAsia="楷体"/>
          <w:sz w:val="20"/>
          <w:szCs w:val="20"/>
        </w:rPr>
        <w:t>N’Diaye</w:t>
      </w:r>
      <w:proofErr w:type="spellEnd"/>
      <w:r>
        <w:rPr>
          <w:rFonts w:eastAsia="楷体"/>
          <w:sz w:val="20"/>
          <w:szCs w:val="20"/>
        </w:rPr>
        <w:t xml:space="preserve">, Curtis </w:t>
      </w:r>
      <w:proofErr w:type="spellStart"/>
      <w:r>
        <w:rPr>
          <w:rFonts w:eastAsia="楷体"/>
          <w:sz w:val="20"/>
          <w:szCs w:val="20"/>
        </w:rPr>
        <w:t>Pozniak,Dean</w:t>
      </w:r>
      <w:proofErr w:type="spellEnd"/>
      <w:r>
        <w:rPr>
          <w:rFonts w:eastAsia="楷体"/>
          <w:sz w:val="20"/>
          <w:szCs w:val="20"/>
        </w:rPr>
        <w:t xml:space="preserve"> Spaner. Genomic Predictions for Common Bunt, FHB, Stripe Rust, Leaf Rust</w:t>
      </w:r>
      <w:r>
        <w:rPr>
          <w:rFonts w:eastAsia="楷体"/>
          <w:sz w:val="20"/>
          <w:szCs w:val="20"/>
        </w:rPr>
        <w:t>, and Leaf Spotting Resistance in Spring Wheat. Genes, 2022, 13(4): 565.</w:t>
      </w:r>
    </w:p>
    <w:p w14:paraId="76E7739A" w14:textId="77777777" w:rsidR="00E85F48" w:rsidRDefault="00DE2CB8">
      <w:pPr>
        <w:numPr>
          <w:ilvl w:val="0"/>
          <w:numId w:val="1"/>
        </w:numPr>
        <w:snapToGrid w:val="0"/>
        <w:spacing w:line="360" w:lineRule="auto"/>
        <w:ind w:firstLineChars="200" w:firstLine="420"/>
        <w:rPr>
          <w:rFonts w:eastAsiaTheme="minorEastAsia"/>
        </w:rPr>
      </w:pPr>
      <w:proofErr w:type="spellStart"/>
      <w:r>
        <w:rPr>
          <w:rFonts w:eastAsiaTheme="minorEastAsia"/>
        </w:rPr>
        <w:t>Peipei</w:t>
      </w:r>
      <w:proofErr w:type="spellEnd"/>
      <w:r>
        <w:rPr>
          <w:rFonts w:eastAsiaTheme="minorEastAsia"/>
        </w:rPr>
        <w:t xml:space="preserve"> Wang, Melissa D. </w:t>
      </w:r>
      <w:proofErr w:type="spellStart"/>
      <w:r>
        <w:rPr>
          <w:rFonts w:eastAsiaTheme="minorEastAsia"/>
        </w:rPr>
        <w:t>Lehti-Shiu</w:t>
      </w:r>
      <w:proofErr w:type="spellEnd"/>
      <w:r>
        <w:rPr>
          <w:rFonts w:eastAsiaTheme="minorEastAsia"/>
        </w:rPr>
        <w:t xml:space="preserve">, Serena </w:t>
      </w:r>
      <w:proofErr w:type="spellStart"/>
      <w:r>
        <w:rPr>
          <w:rFonts w:eastAsiaTheme="minorEastAsia"/>
        </w:rPr>
        <w:t>Lotreck</w:t>
      </w:r>
      <w:proofErr w:type="spellEnd"/>
      <w:r>
        <w:rPr>
          <w:rFonts w:eastAsiaTheme="minorEastAsia"/>
        </w:rPr>
        <w:t xml:space="preserve">, Kenia Segura </w:t>
      </w:r>
      <w:proofErr w:type="spellStart"/>
      <w:r>
        <w:rPr>
          <w:rFonts w:eastAsiaTheme="minorEastAsia"/>
        </w:rPr>
        <w:t>Abá</w:t>
      </w:r>
      <w:proofErr w:type="spellEnd"/>
      <w:r>
        <w:rPr>
          <w:rFonts w:eastAsiaTheme="minorEastAsia"/>
        </w:rPr>
        <w:t xml:space="preserve">, Patrick J. </w:t>
      </w:r>
      <w:proofErr w:type="spellStart"/>
      <w:proofErr w:type="gramStart"/>
      <w:r>
        <w:rPr>
          <w:rFonts w:eastAsiaTheme="minorEastAsia"/>
        </w:rPr>
        <w:t>Krysan</w:t>
      </w:r>
      <w:proofErr w:type="spellEnd"/>
      <w:r>
        <w:rPr>
          <w:rFonts w:eastAsiaTheme="minorEastAsia"/>
        </w:rPr>
        <w:t xml:space="preserve"> </w:t>
      </w:r>
      <w:r>
        <w:rPr>
          <w:rFonts w:eastAsiaTheme="minorEastAsia" w:hint="eastAsia"/>
        </w:rPr>
        <w:t>,</w:t>
      </w:r>
      <w:proofErr w:type="gramEnd"/>
      <w:r>
        <w:rPr>
          <w:rFonts w:eastAsiaTheme="minorEastAsia" w:hint="eastAsia"/>
        </w:rPr>
        <w:t xml:space="preserve"> </w:t>
      </w:r>
      <w:r>
        <w:rPr>
          <w:rFonts w:eastAsiaTheme="minorEastAsia"/>
        </w:rPr>
        <w:t xml:space="preserve">Shin-Han </w:t>
      </w:r>
      <w:proofErr w:type="spellStart"/>
      <w:r>
        <w:rPr>
          <w:rFonts w:eastAsiaTheme="minorEastAsia"/>
        </w:rPr>
        <w:t>Shiu</w:t>
      </w:r>
      <w:proofErr w:type="spellEnd"/>
      <w:r>
        <w:rPr>
          <w:rFonts w:eastAsiaTheme="minorEastAsia"/>
        </w:rPr>
        <w:t xml:space="preserve">. Prediction of plant complex traits via integration of multi-omics </w:t>
      </w:r>
      <w:proofErr w:type="spellStart"/>
      <w:proofErr w:type="gramStart"/>
      <w:r>
        <w:rPr>
          <w:rFonts w:eastAsiaTheme="minorEastAsia"/>
        </w:rPr>
        <w:t>data.Nature</w:t>
      </w:r>
      <w:proofErr w:type="spellEnd"/>
      <w:proofErr w:type="gramEnd"/>
      <w:r>
        <w:rPr>
          <w:rFonts w:eastAsiaTheme="minorEastAsia"/>
        </w:rPr>
        <w:t xml:space="preserve"> </w:t>
      </w:r>
      <w:r>
        <w:rPr>
          <w:rFonts w:eastAsiaTheme="minorEastAsia"/>
        </w:rPr>
        <w:t>Communications, 202</w:t>
      </w:r>
      <w:r>
        <w:rPr>
          <w:rFonts w:eastAsiaTheme="minorEastAsia" w:hint="eastAsia"/>
        </w:rPr>
        <w:t>4</w:t>
      </w:r>
      <w:r>
        <w:rPr>
          <w:rFonts w:eastAsiaTheme="minorEastAsia"/>
        </w:rPr>
        <w:t>,1</w:t>
      </w:r>
      <w:r>
        <w:rPr>
          <w:rFonts w:eastAsiaTheme="minorEastAsia" w:hint="eastAsia"/>
        </w:rPr>
        <w:t>5(1):6856</w:t>
      </w:r>
      <w:r>
        <w:rPr>
          <w:rFonts w:eastAsiaTheme="minorEastAsia"/>
        </w:rPr>
        <w:t>.</w:t>
      </w:r>
    </w:p>
    <w:p w14:paraId="284AE065" w14:textId="77777777" w:rsidR="00E85F48" w:rsidRDefault="00DE2CB8">
      <w:pPr>
        <w:numPr>
          <w:ilvl w:val="0"/>
          <w:numId w:val="1"/>
        </w:numPr>
        <w:snapToGrid w:val="0"/>
        <w:spacing w:line="360" w:lineRule="auto"/>
        <w:ind w:firstLineChars="200" w:firstLine="420"/>
        <w:rPr>
          <w:rFonts w:eastAsiaTheme="minorEastAsia"/>
        </w:rPr>
      </w:pPr>
      <w:proofErr w:type="spellStart"/>
      <w:r>
        <w:rPr>
          <w:rFonts w:eastAsiaTheme="minorEastAsia"/>
        </w:rPr>
        <w:lastRenderedPageBreak/>
        <w:t>Bixuan</w:t>
      </w:r>
      <w:proofErr w:type="spellEnd"/>
      <w:r>
        <w:rPr>
          <w:rFonts w:eastAsiaTheme="minorEastAsia"/>
        </w:rPr>
        <w:t xml:space="preserve"> </w:t>
      </w:r>
      <w:proofErr w:type="spellStart"/>
      <w:proofErr w:type="gramStart"/>
      <w:r>
        <w:rPr>
          <w:rFonts w:eastAsiaTheme="minorEastAsia"/>
        </w:rPr>
        <w:t>Cheng,Wenting</w:t>
      </w:r>
      <w:proofErr w:type="spellEnd"/>
      <w:proofErr w:type="gramEnd"/>
      <w:r>
        <w:rPr>
          <w:rFonts w:eastAsiaTheme="minorEastAsia" w:hint="eastAsia"/>
        </w:rPr>
        <w:t xml:space="preserve"> </w:t>
      </w:r>
      <w:proofErr w:type="spellStart"/>
      <w:r>
        <w:rPr>
          <w:rFonts w:eastAsiaTheme="minorEastAsia"/>
        </w:rPr>
        <w:t>Du,PeterM.Bourke</w:t>
      </w:r>
      <w:r>
        <w:rPr>
          <w:rFonts w:eastAsiaTheme="minorEastAsia" w:hint="eastAsia"/>
        </w:rPr>
        <w:t>,</w:t>
      </w:r>
      <w:r>
        <w:rPr>
          <w:rFonts w:eastAsiaTheme="minorEastAsia"/>
        </w:rPr>
        <w:t>ChaoYu</w:t>
      </w:r>
      <w:proofErr w:type="spellEnd"/>
      <w:r>
        <w:rPr>
          <w:rFonts w:eastAsiaTheme="minorEastAsia"/>
        </w:rPr>
        <w:t>. Population genetics of horticultural crops aided by multi-omics technology and its implications for ornamental plants. Ornamental Plant Research, 2024,</w:t>
      </w:r>
      <w:r>
        <w:rPr>
          <w:rFonts w:eastAsiaTheme="minorEastAsia" w:hint="eastAsia"/>
        </w:rPr>
        <w:t>4(1</w:t>
      </w:r>
      <w:proofErr w:type="gramStart"/>
      <w:r>
        <w:rPr>
          <w:rFonts w:eastAsiaTheme="minorEastAsia" w:hint="eastAsia"/>
        </w:rPr>
        <w:t>):e</w:t>
      </w:r>
      <w:proofErr w:type="gramEnd"/>
      <w:r>
        <w:rPr>
          <w:rFonts w:eastAsiaTheme="minorEastAsia" w:hint="eastAsia"/>
        </w:rPr>
        <w:t>024</w:t>
      </w:r>
      <w:r>
        <w:rPr>
          <w:rFonts w:eastAsiaTheme="minorEastAsia"/>
        </w:rPr>
        <w:t>.</w:t>
      </w:r>
    </w:p>
    <w:p w14:paraId="5B8F497F" w14:textId="77777777" w:rsidR="00E85F48" w:rsidRDefault="00DE2CB8">
      <w:pPr>
        <w:numPr>
          <w:ilvl w:val="0"/>
          <w:numId w:val="1"/>
        </w:numPr>
        <w:snapToGrid w:val="0"/>
        <w:spacing w:line="360" w:lineRule="auto"/>
        <w:ind w:firstLineChars="200" w:firstLine="400"/>
        <w:rPr>
          <w:rFonts w:eastAsia="楷体"/>
          <w:sz w:val="20"/>
          <w:szCs w:val="20"/>
        </w:rPr>
      </w:pPr>
      <w:r>
        <w:rPr>
          <w:rFonts w:ascii="楷体" w:eastAsia="楷体" w:hAnsi="楷体" w:cs="楷体" w:hint="eastAsia"/>
          <w:sz w:val="20"/>
          <w:szCs w:val="20"/>
        </w:rPr>
        <w:t>刘</w:t>
      </w:r>
      <w:r>
        <w:rPr>
          <w:rFonts w:eastAsia="楷体"/>
          <w:sz w:val="20"/>
          <w:szCs w:val="20"/>
        </w:rPr>
        <w:t>志鹏</w:t>
      </w:r>
      <w:r>
        <w:rPr>
          <w:rFonts w:eastAsia="楷体"/>
          <w:sz w:val="20"/>
          <w:szCs w:val="20"/>
        </w:rPr>
        <w:t xml:space="preserve">. </w:t>
      </w:r>
      <w:r>
        <w:rPr>
          <w:rFonts w:eastAsia="楷体"/>
          <w:sz w:val="20"/>
          <w:szCs w:val="20"/>
        </w:rPr>
        <w:t>转</w:t>
      </w:r>
      <w:r>
        <w:rPr>
          <w:rFonts w:eastAsia="楷体"/>
          <w:sz w:val="20"/>
          <w:szCs w:val="20"/>
        </w:rPr>
        <w:t>Solyc08g0</w:t>
      </w:r>
      <w:r>
        <w:rPr>
          <w:rFonts w:eastAsia="楷体"/>
          <w:sz w:val="20"/>
          <w:szCs w:val="20"/>
        </w:rPr>
        <w:t>16270</w:t>
      </w:r>
      <w:r>
        <w:rPr>
          <w:rFonts w:eastAsia="楷体"/>
          <w:sz w:val="20"/>
          <w:szCs w:val="20"/>
        </w:rPr>
        <w:t>基因抗病紫花苜蓿</w:t>
      </w:r>
      <w:r>
        <w:rPr>
          <w:rFonts w:eastAsia="楷体"/>
          <w:sz w:val="20"/>
          <w:szCs w:val="20"/>
        </w:rPr>
        <w:t>Cu-1</w:t>
      </w:r>
      <w:r>
        <w:rPr>
          <w:rFonts w:eastAsia="楷体"/>
          <w:sz w:val="20"/>
          <w:szCs w:val="20"/>
        </w:rPr>
        <w:t>在甘肃省的中间试验</w:t>
      </w:r>
      <w:r>
        <w:rPr>
          <w:rFonts w:eastAsia="楷体"/>
          <w:sz w:val="20"/>
          <w:szCs w:val="20"/>
        </w:rPr>
        <w:t xml:space="preserve">. </w:t>
      </w:r>
      <w:r>
        <w:rPr>
          <w:rFonts w:eastAsia="楷体"/>
          <w:sz w:val="20"/>
          <w:szCs w:val="20"/>
        </w:rPr>
        <w:t>农业农村部农业转基因生物安全管理办公室，</w:t>
      </w:r>
      <w:r>
        <w:rPr>
          <w:rFonts w:eastAsia="楷体"/>
          <w:sz w:val="20"/>
          <w:szCs w:val="20"/>
        </w:rPr>
        <w:t>2020-7-1.</w:t>
      </w:r>
    </w:p>
    <w:permEnd w:id="407914157"/>
    <w:p w14:paraId="23037FEE" w14:textId="77777777" w:rsidR="00E85F48" w:rsidRDefault="00DE2CB8">
      <w:pPr>
        <w:snapToGrid w:val="0"/>
        <w:spacing w:line="440" w:lineRule="exact"/>
        <w:ind w:firstLineChars="196" w:firstLine="549"/>
        <w:rPr>
          <w:rFonts w:ascii="楷体" w:eastAsia="楷体" w:hAnsi="楷体" w:cs="楷体_GB2312"/>
          <w:b/>
          <w:bCs/>
          <w:color w:val="0070C0"/>
          <w:sz w:val="28"/>
          <w:szCs w:val="28"/>
        </w:rPr>
      </w:pPr>
      <w:r>
        <w:rPr>
          <w:rFonts w:ascii="楷体" w:eastAsia="楷体" w:hAnsi="楷体"/>
          <w:color w:val="0070C0"/>
          <w:sz w:val="28"/>
          <w:szCs w:val="28"/>
        </w:rPr>
        <w:t>2</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项目的研究内容、研究目标，以及拟解决的关键科学问题</w:t>
      </w:r>
      <w:r>
        <w:rPr>
          <w:rFonts w:ascii="楷体" w:eastAsia="楷体" w:hAnsi="楷体" w:cs="楷体_GB2312" w:hint="eastAsia"/>
          <w:color w:val="0070C0"/>
          <w:sz w:val="28"/>
          <w:szCs w:val="28"/>
        </w:rPr>
        <w:t>（此部分为重点阐述内容）</w:t>
      </w:r>
      <w:r>
        <w:rPr>
          <w:rFonts w:ascii="楷体" w:eastAsia="楷体" w:hAnsi="楷体" w:cs="楷体_GB2312" w:hint="eastAsia"/>
          <w:b/>
          <w:bCs/>
          <w:color w:val="0070C0"/>
          <w:sz w:val="28"/>
          <w:szCs w:val="28"/>
        </w:rPr>
        <w:t>；</w:t>
      </w:r>
    </w:p>
    <w:p w14:paraId="584F8B6D" w14:textId="77777777" w:rsidR="00E85F48" w:rsidRDefault="00DE2CB8">
      <w:pPr>
        <w:snapToGrid w:val="0"/>
        <w:spacing w:line="440" w:lineRule="exact"/>
        <w:rPr>
          <w:rFonts w:eastAsia="楷体" w:cs="楷体"/>
          <w:b/>
          <w:sz w:val="24"/>
          <w:szCs w:val="24"/>
        </w:rPr>
      </w:pPr>
      <w:permStart w:id="216494250" w:edGrp="everyone"/>
      <w:r>
        <w:rPr>
          <w:rFonts w:eastAsia="楷体" w:cs="楷体"/>
          <w:b/>
          <w:sz w:val="24"/>
          <w:szCs w:val="24"/>
        </w:rPr>
        <w:t xml:space="preserve">2.1 </w:t>
      </w:r>
      <w:r>
        <w:rPr>
          <w:rFonts w:eastAsia="楷体" w:cs="楷体"/>
          <w:b/>
          <w:sz w:val="24"/>
          <w:szCs w:val="24"/>
        </w:rPr>
        <w:t>研究内容</w:t>
      </w:r>
    </w:p>
    <w:p w14:paraId="7EA4B6C0" w14:textId="77777777" w:rsidR="00E85F48" w:rsidRDefault="00DE2CB8">
      <w:pPr>
        <w:snapToGrid w:val="0"/>
        <w:spacing w:line="440" w:lineRule="exact"/>
        <w:rPr>
          <w:rFonts w:eastAsia="楷体" w:cs="楷体"/>
          <w:b/>
          <w:sz w:val="24"/>
          <w:szCs w:val="24"/>
        </w:rPr>
      </w:pPr>
      <w:r>
        <w:rPr>
          <w:rFonts w:eastAsia="楷体" w:cs="楷体"/>
          <w:b/>
          <w:sz w:val="24"/>
          <w:szCs w:val="24"/>
        </w:rPr>
        <w:t>（</w:t>
      </w:r>
      <w:r>
        <w:rPr>
          <w:rFonts w:eastAsia="楷体" w:cs="楷体"/>
          <w:b/>
          <w:sz w:val="24"/>
          <w:szCs w:val="24"/>
        </w:rPr>
        <w:t>1</w:t>
      </w:r>
      <w:r>
        <w:rPr>
          <w:rFonts w:eastAsia="楷体" w:cs="楷体"/>
          <w:b/>
          <w:sz w:val="24"/>
          <w:szCs w:val="24"/>
        </w:rPr>
        <w:t>）牧草</w:t>
      </w:r>
      <w:r>
        <w:rPr>
          <w:rFonts w:eastAsia="楷体" w:cs="楷体"/>
          <w:b/>
          <w:sz w:val="24"/>
          <w:szCs w:val="24"/>
        </w:rPr>
        <w:t>SNP</w:t>
      </w:r>
      <w:r>
        <w:rPr>
          <w:rFonts w:eastAsia="楷体" w:cs="楷体"/>
          <w:b/>
          <w:sz w:val="24"/>
          <w:szCs w:val="24"/>
        </w:rPr>
        <w:t>及</w:t>
      </w:r>
      <w:r>
        <w:rPr>
          <w:rFonts w:eastAsia="楷体" w:cs="楷体"/>
          <w:b/>
          <w:sz w:val="24"/>
          <w:szCs w:val="24"/>
        </w:rPr>
        <w:t>SV</w:t>
      </w:r>
      <w:r>
        <w:rPr>
          <w:rFonts w:eastAsia="楷体" w:cs="楷体"/>
          <w:b/>
          <w:sz w:val="24"/>
          <w:szCs w:val="24"/>
        </w:rPr>
        <w:t>数据构建与遗传变异基础解析</w:t>
      </w:r>
    </w:p>
    <w:p w14:paraId="1003E202" w14:textId="77777777" w:rsidR="00E85F48" w:rsidRDefault="00DE2CB8">
      <w:pPr>
        <w:spacing w:line="440" w:lineRule="exact"/>
        <w:ind w:firstLineChars="200" w:firstLine="480"/>
        <w:rPr>
          <w:rFonts w:eastAsia="楷体"/>
          <w:sz w:val="24"/>
          <w:szCs w:val="24"/>
        </w:rPr>
      </w:pPr>
      <w:r>
        <w:rPr>
          <w:rFonts w:eastAsia="楷体"/>
          <w:sz w:val="24"/>
          <w:szCs w:val="24"/>
        </w:rPr>
        <w:t>构建高质量的基因组变异数据库是解析远端调控机制的基础。通过精准鉴定基因组范围内的</w:t>
      </w:r>
      <w:r>
        <w:rPr>
          <w:rFonts w:eastAsia="楷体"/>
          <w:sz w:val="24"/>
          <w:szCs w:val="24"/>
        </w:rPr>
        <w:t>SNP</w:t>
      </w:r>
      <w:r>
        <w:rPr>
          <w:rFonts w:eastAsia="楷体"/>
          <w:sz w:val="24"/>
          <w:szCs w:val="24"/>
        </w:rPr>
        <w:t>、</w:t>
      </w:r>
      <w:r>
        <w:rPr>
          <w:rFonts w:eastAsia="楷体"/>
          <w:sz w:val="24"/>
          <w:szCs w:val="24"/>
        </w:rPr>
        <w:t>SV</w:t>
      </w:r>
      <w:r>
        <w:rPr>
          <w:rFonts w:eastAsia="楷体"/>
          <w:sz w:val="24"/>
          <w:szCs w:val="24"/>
        </w:rPr>
        <w:t>多类型遗传变异，揭示牧草调控元件的多样性及其影响功能。构建数据库为后续远端调控预测和精准育种提供坚实的数据支持。</w:t>
      </w:r>
    </w:p>
    <w:p w14:paraId="00021CC1" w14:textId="77777777" w:rsidR="00E85F48" w:rsidRDefault="00DE2CB8">
      <w:pPr>
        <w:spacing w:line="440" w:lineRule="exact"/>
        <w:ind w:firstLineChars="200" w:firstLine="480"/>
        <w:rPr>
          <w:rFonts w:eastAsia="楷体"/>
          <w:sz w:val="24"/>
          <w:szCs w:val="24"/>
        </w:rPr>
      </w:pPr>
      <w:r>
        <w:rPr>
          <w:rFonts w:eastAsia="楷体"/>
          <w:sz w:val="24"/>
          <w:szCs w:val="24"/>
        </w:rPr>
        <w:t>利用高覆盖测序技术构建高质量的基因组装配，全面捕获牧草全基因组内的各类遗传变异。整合多个牧草品种的基因组数据，对</w:t>
      </w:r>
      <w:r>
        <w:rPr>
          <w:rFonts w:eastAsia="楷体"/>
          <w:sz w:val="24"/>
          <w:szCs w:val="24"/>
        </w:rPr>
        <w:t>SNP</w:t>
      </w:r>
      <w:r>
        <w:rPr>
          <w:rFonts w:eastAsia="楷体"/>
          <w:sz w:val="24"/>
          <w:szCs w:val="24"/>
        </w:rPr>
        <w:t>、</w:t>
      </w:r>
      <w:r>
        <w:rPr>
          <w:rFonts w:eastAsia="楷体"/>
          <w:sz w:val="24"/>
          <w:szCs w:val="24"/>
        </w:rPr>
        <w:t>SV</w:t>
      </w:r>
      <w:r>
        <w:rPr>
          <w:rFonts w:eastAsia="楷体"/>
          <w:sz w:val="24"/>
          <w:szCs w:val="24"/>
        </w:rPr>
        <w:t>进行系统识别和定量分析，解析其在编码区和调控区的分布特征及潜在功能，为牧草遗传多样性和性状调控提供理论依据。</w:t>
      </w:r>
    </w:p>
    <w:p w14:paraId="6C15CA2A" w14:textId="77777777" w:rsidR="00E85F48" w:rsidRDefault="00DE2CB8">
      <w:pPr>
        <w:spacing w:line="440" w:lineRule="exact"/>
        <w:ind w:firstLineChars="200" w:firstLine="480"/>
        <w:rPr>
          <w:rFonts w:eastAsia="楷体"/>
          <w:sz w:val="24"/>
          <w:szCs w:val="24"/>
        </w:rPr>
      </w:pPr>
      <w:r>
        <w:rPr>
          <w:rFonts w:eastAsia="楷体"/>
          <w:sz w:val="24"/>
          <w:szCs w:val="24"/>
        </w:rPr>
        <w:t>基于高覆盖测序获得的变异数据，构建统一标准的牧草基因组变异数据库，整合不同品种间的遗传多样性信息。借助多组学数据融合，初步探究基因型与性状表型的关联规律，识别影响生</w:t>
      </w:r>
      <w:r>
        <w:rPr>
          <w:rFonts w:eastAsia="楷体"/>
          <w:sz w:val="24"/>
          <w:szCs w:val="24"/>
        </w:rPr>
        <w:t>长、抗逆性及品质等关键性状的遗传变异，为远端调控元件的预测与功能解析奠定数据基础。</w:t>
      </w:r>
    </w:p>
    <w:p w14:paraId="1AF993FD" w14:textId="77777777" w:rsidR="00E85F48" w:rsidRDefault="00DE2CB8">
      <w:pPr>
        <w:snapToGrid w:val="0"/>
        <w:spacing w:line="440" w:lineRule="exact"/>
        <w:rPr>
          <w:rFonts w:eastAsia="楷体" w:cs="楷体"/>
          <w:b/>
          <w:sz w:val="24"/>
          <w:szCs w:val="24"/>
        </w:rPr>
      </w:pPr>
      <w:r>
        <w:rPr>
          <w:rFonts w:eastAsia="楷体" w:cs="楷体"/>
          <w:b/>
          <w:sz w:val="24"/>
          <w:szCs w:val="24"/>
        </w:rPr>
        <w:t>（</w:t>
      </w:r>
      <w:r>
        <w:rPr>
          <w:rFonts w:eastAsia="楷体" w:cs="楷体"/>
          <w:b/>
          <w:sz w:val="24"/>
          <w:szCs w:val="24"/>
        </w:rPr>
        <w:t>2</w:t>
      </w:r>
      <w:r>
        <w:rPr>
          <w:rFonts w:eastAsia="楷体" w:cs="楷体"/>
          <w:b/>
          <w:sz w:val="24"/>
          <w:szCs w:val="24"/>
        </w:rPr>
        <w:t>）牧草远端调控元件功能解析与精准育种转化</w:t>
      </w:r>
    </w:p>
    <w:p w14:paraId="73AF135E" w14:textId="77777777" w:rsidR="00E85F48" w:rsidRDefault="00DE2CB8">
      <w:pPr>
        <w:spacing w:line="440" w:lineRule="exact"/>
        <w:ind w:firstLineChars="200" w:firstLine="480"/>
        <w:rPr>
          <w:rFonts w:eastAsia="楷体"/>
          <w:sz w:val="24"/>
          <w:szCs w:val="24"/>
        </w:rPr>
      </w:pPr>
      <w:r>
        <w:rPr>
          <w:rFonts w:eastAsia="楷体"/>
          <w:sz w:val="24"/>
          <w:szCs w:val="24"/>
        </w:rPr>
        <w:t>传统</w:t>
      </w:r>
      <w:r>
        <w:rPr>
          <w:rFonts w:eastAsia="楷体"/>
          <w:sz w:val="24"/>
          <w:szCs w:val="24"/>
        </w:rPr>
        <w:t>GWAS</w:t>
      </w:r>
      <w:r>
        <w:rPr>
          <w:rFonts w:eastAsia="楷体"/>
          <w:sz w:val="24"/>
          <w:szCs w:val="24"/>
        </w:rPr>
        <w:t>方法难以全面揭示远端调控元件在牧草性状形成中的复杂作用。本研究拟利用人工智能算法，构建融合序列、染色质三维结构及多模态表型数据的新型分析框架，系统阐明远端</w:t>
      </w:r>
      <w:r>
        <w:rPr>
          <w:rFonts w:eastAsia="楷体"/>
          <w:sz w:val="24"/>
          <w:szCs w:val="24"/>
        </w:rPr>
        <w:t>SNP/SV</w:t>
      </w:r>
      <w:r>
        <w:rPr>
          <w:rFonts w:eastAsia="楷体"/>
          <w:sz w:val="24"/>
          <w:szCs w:val="24"/>
        </w:rPr>
        <w:t>如何通过空间结构及调控网络影响基因表达，为精准育种和分子改良提供新的理论与技术支撑。</w:t>
      </w:r>
    </w:p>
    <w:p w14:paraId="1E8701C6" w14:textId="77777777" w:rsidR="00E85F48" w:rsidRDefault="00DE2CB8">
      <w:pPr>
        <w:spacing w:line="440" w:lineRule="exact"/>
        <w:ind w:firstLineChars="200" w:firstLine="480"/>
        <w:rPr>
          <w:rFonts w:eastAsia="楷体"/>
          <w:sz w:val="24"/>
          <w:szCs w:val="24"/>
        </w:rPr>
      </w:pPr>
      <w:r>
        <w:rPr>
          <w:rFonts w:eastAsia="楷体"/>
          <w:sz w:val="24"/>
          <w:szCs w:val="24"/>
        </w:rPr>
        <w:t>本研究旨在从全局角度解析牧草基因组中远端调控元件的作用机制，探讨染色质三维构象与表观遗传调控如何</w:t>
      </w:r>
      <w:proofErr w:type="gramStart"/>
      <w:r>
        <w:rPr>
          <w:rFonts w:eastAsia="楷体"/>
          <w:sz w:val="24"/>
          <w:szCs w:val="24"/>
        </w:rPr>
        <w:t>介</w:t>
      </w:r>
      <w:proofErr w:type="gramEnd"/>
      <w:r>
        <w:rPr>
          <w:rFonts w:eastAsia="楷体"/>
          <w:sz w:val="24"/>
          <w:szCs w:val="24"/>
        </w:rPr>
        <w:t>导远端变异对基因表达</w:t>
      </w:r>
      <w:r>
        <w:rPr>
          <w:rFonts w:eastAsia="楷体"/>
          <w:sz w:val="24"/>
          <w:szCs w:val="24"/>
        </w:rPr>
        <w:t>的调控效应。构建基于多维数据整合的人工智能平台，通过解析基因组结构、蛋白</w:t>
      </w:r>
      <w:r>
        <w:rPr>
          <w:rFonts w:eastAsia="楷体"/>
          <w:sz w:val="24"/>
          <w:szCs w:val="24"/>
        </w:rPr>
        <w:t>-DNA</w:t>
      </w:r>
      <w:r>
        <w:rPr>
          <w:rFonts w:eastAsia="楷体"/>
          <w:sz w:val="24"/>
          <w:szCs w:val="24"/>
        </w:rPr>
        <w:t>互作网络、</w:t>
      </w:r>
      <w:proofErr w:type="gramStart"/>
      <w:r>
        <w:rPr>
          <w:rFonts w:eastAsia="楷体"/>
          <w:sz w:val="24"/>
          <w:szCs w:val="24"/>
        </w:rPr>
        <w:t>转录组</w:t>
      </w:r>
      <w:proofErr w:type="gramEnd"/>
      <w:r>
        <w:rPr>
          <w:rFonts w:eastAsia="楷体"/>
          <w:sz w:val="24"/>
          <w:szCs w:val="24"/>
        </w:rPr>
        <w:t>与表型关联，构建捕捉远端调控信号的理论框架，为深入理解牧草性状形成机理和指导精准育种提供新视角。</w:t>
      </w:r>
    </w:p>
    <w:p w14:paraId="3C5BCFE3" w14:textId="77777777" w:rsidR="00E85F48" w:rsidRDefault="00DE2CB8">
      <w:pPr>
        <w:spacing w:line="440" w:lineRule="exact"/>
        <w:ind w:firstLineChars="200" w:firstLine="480"/>
        <w:rPr>
          <w:rFonts w:eastAsia="楷体"/>
          <w:sz w:val="24"/>
          <w:szCs w:val="24"/>
        </w:rPr>
      </w:pPr>
      <w:r>
        <w:rPr>
          <w:rFonts w:eastAsia="楷体"/>
          <w:sz w:val="24"/>
          <w:szCs w:val="24"/>
        </w:rPr>
        <w:t>基于大规模多组学数据与高通量筛选，聚焦验证关键远端调控元件对目标基因表达及性状形成的调控作用。整合染色质三维构象、分子生物学实验与高通量数</w:t>
      </w:r>
      <w:r>
        <w:rPr>
          <w:rFonts w:eastAsia="楷体"/>
          <w:sz w:val="24"/>
          <w:szCs w:val="24"/>
        </w:rPr>
        <w:lastRenderedPageBreak/>
        <w:t>据分析，构建远端调控</w:t>
      </w:r>
      <w:proofErr w:type="gramStart"/>
      <w:r>
        <w:rPr>
          <w:rFonts w:eastAsia="楷体"/>
          <w:sz w:val="24"/>
          <w:szCs w:val="24"/>
        </w:rPr>
        <w:t>介</w:t>
      </w:r>
      <w:proofErr w:type="gramEnd"/>
      <w:r>
        <w:rPr>
          <w:rFonts w:eastAsia="楷体"/>
          <w:sz w:val="24"/>
          <w:szCs w:val="24"/>
        </w:rPr>
        <w:t>导的分子网络模型。通过</w:t>
      </w:r>
      <w:proofErr w:type="gramStart"/>
      <w:r>
        <w:rPr>
          <w:rFonts w:eastAsia="楷体"/>
          <w:sz w:val="24"/>
          <w:szCs w:val="24"/>
        </w:rPr>
        <w:t>跨品种</w:t>
      </w:r>
      <w:proofErr w:type="gramEnd"/>
      <w:r>
        <w:rPr>
          <w:rFonts w:eastAsia="楷体"/>
          <w:sz w:val="24"/>
          <w:szCs w:val="24"/>
        </w:rPr>
        <w:t>对比验证，明确调控元件的普适性与应用价值，为构建以远端调控为核心的精准育种体系提供理论依据和实践路径。</w:t>
      </w:r>
      <w:r>
        <w:rPr>
          <w:rFonts w:eastAsia="楷体" w:hint="eastAsia"/>
          <w:sz w:val="24"/>
          <w:szCs w:val="24"/>
        </w:rPr>
        <w:t>为后续关键调控元件功能验证与</w:t>
      </w:r>
      <w:r>
        <w:rPr>
          <w:rFonts w:eastAsia="楷体" w:hint="eastAsia"/>
          <w:sz w:val="24"/>
          <w:szCs w:val="24"/>
        </w:rPr>
        <w:t>精准育种体系构建提供实验验证和技术支持，从实验角度培育新的作物品种。</w:t>
      </w:r>
    </w:p>
    <w:p w14:paraId="294311D4" w14:textId="77777777" w:rsidR="00E85F48" w:rsidRDefault="00DE2CB8">
      <w:pPr>
        <w:snapToGrid w:val="0"/>
        <w:spacing w:line="440" w:lineRule="exact"/>
        <w:rPr>
          <w:rFonts w:eastAsia="楷体" w:cs="楷体"/>
          <w:b/>
          <w:sz w:val="24"/>
          <w:szCs w:val="24"/>
        </w:rPr>
      </w:pPr>
      <w:r>
        <w:rPr>
          <w:rFonts w:eastAsia="楷体" w:cs="楷体"/>
          <w:b/>
          <w:sz w:val="24"/>
          <w:szCs w:val="24"/>
        </w:rPr>
        <w:t>（</w:t>
      </w:r>
      <w:r>
        <w:rPr>
          <w:rFonts w:eastAsia="楷体" w:cs="楷体"/>
          <w:b/>
          <w:sz w:val="24"/>
          <w:szCs w:val="24"/>
        </w:rPr>
        <w:t>3</w:t>
      </w:r>
      <w:r>
        <w:rPr>
          <w:rFonts w:eastAsia="楷体" w:cs="楷体"/>
          <w:b/>
          <w:sz w:val="24"/>
          <w:szCs w:val="24"/>
        </w:rPr>
        <w:t>）关键调控元件功能验证与精准育种体系构建</w:t>
      </w:r>
    </w:p>
    <w:p w14:paraId="0D0FCE1B" w14:textId="77777777" w:rsidR="00E85F48" w:rsidRDefault="00DE2CB8">
      <w:pPr>
        <w:spacing w:line="440" w:lineRule="exact"/>
        <w:ind w:firstLineChars="200" w:firstLine="480"/>
        <w:rPr>
          <w:rFonts w:eastAsia="楷体"/>
          <w:sz w:val="24"/>
          <w:szCs w:val="24"/>
        </w:rPr>
      </w:pPr>
      <w:r>
        <w:rPr>
          <w:rFonts w:eastAsia="楷体"/>
          <w:sz w:val="24"/>
          <w:szCs w:val="24"/>
        </w:rPr>
        <w:t>在前期多组学分析和人工智能预测的基础上，初步筛选出潜在的远端调控元件。本研究进一步通过系统性功能验证，解析远端调控元件如何通过染色质三维构象和基因表达网络调控牧草性状，并构建从分子验证到田间应用的精准育种体系。</w:t>
      </w:r>
    </w:p>
    <w:p w14:paraId="32629E5A" w14:textId="77777777" w:rsidR="00E85F48" w:rsidRDefault="00DE2CB8">
      <w:pPr>
        <w:spacing w:line="440" w:lineRule="exact"/>
        <w:ind w:firstLineChars="200" w:firstLine="480"/>
        <w:rPr>
          <w:rFonts w:eastAsia="楷体"/>
          <w:sz w:val="24"/>
          <w:szCs w:val="24"/>
        </w:rPr>
      </w:pPr>
      <w:r>
        <w:rPr>
          <w:rFonts w:eastAsia="楷体"/>
          <w:sz w:val="24"/>
          <w:szCs w:val="24"/>
        </w:rPr>
        <w:t>利用</w:t>
      </w:r>
      <w:r>
        <w:rPr>
          <w:rFonts w:eastAsia="楷体"/>
          <w:sz w:val="24"/>
          <w:szCs w:val="24"/>
        </w:rPr>
        <w:t>CRISPR/Cas9</w:t>
      </w:r>
      <w:r>
        <w:rPr>
          <w:rFonts w:eastAsia="楷体"/>
          <w:sz w:val="24"/>
          <w:szCs w:val="24"/>
        </w:rPr>
        <w:t>技术构建靶向编辑载体，通过农杆菌</w:t>
      </w:r>
      <w:proofErr w:type="gramStart"/>
      <w:r>
        <w:rPr>
          <w:rFonts w:eastAsia="楷体"/>
          <w:sz w:val="24"/>
          <w:szCs w:val="24"/>
        </w:rPr>
        <w:t>介</w:t>
      </w:r>
      <w:proofErr w:type="gramEnd"/>
      <w:r>
        <w:rPr>
          <w:rFonts w:eastAsia="楷体"/>
          <w:sz w:val="24"/>
          <w:szCs w:val="24"/>
        </w:rPr>
        <w:t>导</w:t>
      </w:r>
      <w:proofErr w:type="gramStart"/>
      <w:r>
        <w:rPr>
          <w:rFonts w:eastAsia="楷体"/>
          <w:sz w:val="24"/>
          <w:szCs w:val="24"/>
        </w:rPr>
        <w:t>法实现</w:t>
      </w:r>
      <w:proofErr w:type="gramEnd"/>
      <w:r>
        <w:rPr>
          <w:rFonts w:eastAsia="楷体"/>
          <w:sz w:val="24"/>
          <w:szCs w:val="24"/>
        </w:rPr>
        <w:t>关键调控元件的定向编辑。结合</w:t>
      </w:r>
      <w:r>
        <w:rPr>
          <w:rFonts w:eastAsia="楷体"/>
          <w:sz w:val="24"/>
          <w:szCs w:val="24"/>
        </w:rPr>
        <w:t>Hi-C</w:t>
      </w:r>
      <w:r>
        <w:rPr>
          <w:rFonts w:eastAsia="楷体"/>
          <w:sz w:val="24"/>
          <w:szCs w:val="24"/>
        </w:rPr>
        <w:t>、</w:t>
      </w:r>
      <w:r>
        <w:rPr>
          <w:rFonts w:eastAsia="楷体"/>
          <w:sz w:val="24"/>
          <w:szCs w:val="24"/>
        </w:rPr>
        <w:t>ATAC-seq</w:t>
      </w:r>
      <w:r>
        <w:rPr>
          <w:rFonts w:eastAsia="楷体"/>
          <w:sz w:val="24"/>
          <w:szCs w:val="24"/>
        </w:rPr>
        <w:t>、</w:t>
      </w:r>
      <w:r>
        <w:rPr>
          <w:rFonts w:eastAsia="楷体"/>
          <w:sz w:val="24"/>
          <w:szCs w:val="24"/>
        </w:rPr>
        <w:t>RNA-seq</w:t>
      </w:r>
      <w:r>
        <w:rPr>
          <w:rFonts w:eastAsia="楷体"/>
          <w:sz w:val="24"/>
          <w:szCs w:val="24"/>
        </w:rPr>
        <w:t>、</w:t>
      </w:r>
      <w:proofErr w:type="spellStart"/>
      <w:r>
        <w:rPr>
          <w:rFonts w:eastAsia="楷体"/>
          <w:sz w:val="24"/>
          <w:szCs w:val="24"/>
        </w:rPr>
        <w:t>ChIP</w:t>
      </w:r>
      <w:proofErr w:type="spellEnd"/>
      <w:r>
        <w:rPr>
          <w:rFonts w:eastAsia="楷体"/>
          <w:sz w:val="24"/>
          <w:szCs w:val="24"/>
        </w:rPr>
        <w:t>-seq</w:t>
      </w:r>
      <w:r>
        <w:rPr>
          <w:rFonts w:eastAsia="楷体"/>
          <w:sz w:val="24"/>
          <w:szCs w:val="24"/>
        </w:rPr>
        <w:t>等多组学手段，系统解析编辑材</w:t>
      </w:r>
      <w:r>
        <w:rPr>
          <w:rFonts w:eastAsia="楷体"/>
          <w:sz w:val="24"/>
          <w:szCs w:val="24"/>
        </w:rPr>
        <w:t>料中染色质及转录调控的变化。进一步借助</w:t>
      </w:r>
      <w:r>
        <w:rPr>
          <w:rFonts w:eastAsia="楷体"/>
          <w:sz w:val="24"/>
          <w:szCs w:val="24"/>
        </w:rPr>
        <w:t>3C/4C</w:t>
      </w:r>
      <w:r>
        <w:rPr>
          <w:rFonts w:eastAsia="楷体"/>
          <w:sz w:val="24"/>
          <w:szCs w:val="24"/>
        </w:rPr>
        <w:t>技术验证关键元件与目标基因的空间互作，构建远端调控分子网络模型，揭示复杂性状形成与基因表达调控之间的因果机制。</w:t>
      </w:r>
    </w:p>
    <w:p w14:paraId="0C61B38C" w14:textId="77777777" w:rsidR="00E85F48" w:rsidRDefault="00DE2CB8">
      <w:pPr>
        <w:spacing w:line="440" w:lineRule="exact"/>
        <w:ind w:firstLineChars="200" w:firstLine="480"/>
        <w:rPr>
          <w:rFonts w:eastAsia="楷体"/>
          <w:sz w:val="24"/>
          <w:szCs w:val="24"/>
        </w:rPr>
      </w:pPr>
      <w:r>
        <w:rPr>
          <w:rFonts w:eastAsia="楷体"/>
          <w:sz w:val="24"/>
          <w:szCs w:val="24"/>
        </w:rPr>
        <w:t>在基因编辑牧草材料基础上，开展不同生态区（高寒草甸、温带草原、亚热带草地）的多点田间试验，系统评估改良材料在生长、抗逆和品质等方面的表现。结合分子标记辅助选择和高通量表型分析，利用机器学习算法构建性状预测模型，实现田间数据与育种策略的智能反馈，构建从基因编辑到田间选育的精准育种闭环。</w:t>
      </w:r>
    </w:p>
    <w:p w14:paraId="1B31B4F7" w14:textId="77777777" w:rsidR="00E85F48" w:rsidRDefault="00DE2CB8">
      <w:pPr>
        <w:snapToGrid w:val="0"/>
        <w:spacing w:line="440" w:lineRule="exact"/>
        <w:rPr>
          <w:rFonts w:eastAsia="楷体" w:cs="楷体"/>
          <w:b/>
          <w:sz w:val="24"/>
          <w:szCs w:val="24"/>
        </w:rPr>
      </w:pPr>
      <w:r>
        <w:rPr>
          <w:rFonts w:eastAsia="楷体" w:cs="楷体"/>
          <w:b/>
          <w:sz w:val="24"/>
          <w:szCs w:val="24"/>
        </w:rPr>
        <w:t xml:space="preserve">2.2 </w:t>
      </w:r>
      <w:r>
        <w:rPr>
          <w:rFonts w:eastAsia="楷体" w:cs="楷体"/>
          <w:b/>
          <w:sz w:val="24"/>
          <w:szCs w:val="24"/>
        </w:rPr>
        <w:t>研究目标</w:t>
      </w:r>
      <w:r>
        <w:rPr>
          <w:rFonts w:eastAsia="楷体" w:cs="楷体"/>
          <w:b/>
          <w:sz w:val="24"/>
          <w:szCs w:val="24"/>
        </w:rPr>
        <w:t xml:space="preserve">  </w:t>
      </w:r>
    </w:p>
    <w:p w14:paraId="5CF8168F" w14:textId="77777777" w:rsidR="00E85F48" w:rsidRDefault="00DE2CB8">
      <w:pPr>
        <w:spacing w:line="440" w:lineRule="exact"/>
        <w:ind w:firstLineChars="200" w:firstLine="480"/>
        <w:rPr>
          <w:rFonts w:eastAsia="楷体"/>
          <w:sz w:val="24"/>
          <w:szCs w:val="24"/>
        </w:rPr>
      </w:pPr>
      <w:r>
        <w:rPr>
          <w:rFonts w:eastAsia="楷体" w:hint="eastAsia"/>
          <w:sz w:val="24"/>
          <w:szCs w:val="24"/>
        </w:rPr>
        <w:t>（</w:t>
      </w:r>
      <w:r>
        <w:rPr>
          <w:rFonts w:eastAsia="楷体" w:hint="eastAsia"/>
          <w:sz w:val="24"/>
          <w:szCs w:val="24"/>
        </w:rPr>
        <w:t>1</w:t>
      </w:r>
      <w:r>
        <w:rPr>
          <w:rFonts w:eastAsia="楷体" w:hint="eastAsia"/>
          <w:sz w:val="24"/>
          <w:szCs w:val="24"/>
        </w:rPr>
        <w:t>）</w:t>
      </w:r>
      <w:r>
        <w:rPr>
          <w:rFonts w:eastAsia="楷体"/>
          <w:sz w:val="24"/>
          <w:szCs w:val="24"/>
        </w:rPr>
        <w:t>系统鉴定西南地区</w:t>
      </w:r>
      <w:r>
        <w:rPr>
          <w:rFonts w:eastAsia="楷体"/>
          <w:sz w:val="24"/>
          <w:szCs w:val="24"/>
        </w:rPr>
        <w:t>10</w:t>
      </w:r>
      <w:r>
        <w:rPr>
          <w:rFonts w:eastAsia="楷体"/>
          <w:sz w:val="24"/>
          <w:szCs w:val="24"/>
        </w:rPr>
        <w:t>个主要栽培牧草品种的单核苷酸多态性（</w:t>
      </w:r>
      <w:r>
        <w:rPr>
          <w:rFonts w:eastAsia="楷体"/>
          <w:sz w:val="24"/>
          <w:szCs w:val="24"/>
        </w:rPr>
        <w:t>SNP</w:t>
      </w:r>
      <w:r>
        <w:rPr>
          <w:rFonts w:eastAsia="楷体"/>
          <w:sz w:val="24"/>
          <w:szCs w:val="24"/>
        </w:rPr>
        <w:t>）和结构变异（</w:t>
      </w:r>
      <w:r>
        <w:rPr>
          <w:rFonts w:eastAsia="楷体"/>
          <w:sz w:val="24"/>
          <w:szCs w:val="24"/>
        </w:rPr>
        <w:t>SV</w:t>
      </w:r>
      <w:r>
        <w:rPr>
          <w:rFonts w:eastAsia="楷体"/>
          <w:sz w:val="24"/>
          <w:szCs w:val="24"/>
        </w:rPr>
        <w:t>），解析基因组变异在编码区与调控区的分布规律及潜在功能，</w:t>
      </w:r>
      <w:r>
        <w:rPr>
          <w:rFonts w:eastAsia="楷体" w:hint="eastAsia"/>
          <w:sz w:val="24"/>
          <w:szCs w:val="24"/>
        </w:rPr>
        <w:t>及</w:t>
      </w:r>
      <w:r>
        <w:rPr>
          <w:rFonts w:eastAsia="楷体"/>
          <w:sz w:val="24"/>
          <w:szCs w:val="24"/>
        </w:rPr>
        <w:t>非编码区变异对基因表达调控的作用机制，为牧草优异性状改良提供</w:t>
      </w:r>
      <w:r>
        <w:rPr>
          <w:rFonts w:eastAsia="楷体"/>
          <w:sz w:val="24"/>
          <w:szCs w:val="24"/>
        </w:rPr>
        <w:t>基础遗传资源。</w:t>
      </w:r>
    </w:p>
    <w:p w14:paraId="348659F2" w14:textId="77777777" w:rsidR="00E85F48" w:rsidRDefault="00DE2CB8">
      <w:pPr>
        <w:spacing w:line="440" w:lineRule="exact"/>
        <w:ind w:firstLineChars="200" w:firstLine="480"/>
        <w:rPr>
          <w:rFonts w:eastAsia="楷体"/>
          <w:sz w:val="24"/>
          <w:szCs w:val="24"/>
        </w:rPr>
      </w:pPr>
      <w:r>
        <w:rPr>
          <w:rFonts w:eastAsia="楷体" w:hint="eastAsia"/>
          <w:sz w:val="24"/>
          <w:szCs w:val="24"/>
        </w:rPr>
        <w:t>（</w:t>
      </w:r>
      <w:r>
        <w:rPr>
          <w:rFonts w:eastAsia="楷体" w:hint="eastAsia"/>
          <w:sz w:val="24"/>
          <w:szCs w:val="24"/>
        </w:rPr>
        <w:t>2</w:t>
      </w:r>
      <w:r>
        <w:rPr>
          <w:rFonts w:eastAsia="楷体" w:hint="eastAsia"/>
          <w:sz w:val="24"/>
          <w:szCs w:val="24"/>
        </w:rPr>
        <w:t>）基于人工智能算法和多组学数据，解析远端</w:t>
      </w:r>
      <w:r>
        <w:rPr>
          <w:rFonts w:eastAsia="楷体" w:hint="eastAsia"/>
          <w:sz w:val="24"/>
          <w:szCs w:val="24"/>
        </w:rPr>
        <w:t>SNP/SV</w:t>
      </w:r>
      <w:r>
        <w:rPr>
          <w:rFonts w:eastAsia="楷体" w:hint="eastAsia"/>
          <w:sz w:val="24"/>
          <w:szCs w:val="24"/>
        </w:rPr>
        <w:t>如何通过染色质三维结构和调控网络影响基因表达及性状形成，揭示牧草复杂性状形成中的远端调控元件作用机制，并</w:t>
      </w:r>
      <w:proofErr w:type="gramStart"/>
      <w:r>
        <w:rPr>
          <w:rFonts w:eastAsia="楷体" w:hint="eastAsia"/>
          <w:sz w:val="24"/>
          <w:szCs w:val="24"/>
        </w:rPr>
        <w:t>探索高</w:t>
      </w:r>
      <w:proofErr w:type="gramEnd"/>
      <w:r>
        <w:rPr>
          <w:rFonts w:eastAsia="楷体" w:hint="eastAsia"/>
          <w:sz w:val="24"/>
          <w:szCs w:val="24"/>
        </w:rPr>
        <w:t>精度调控元件预测模型的构建方法。</w:t>
      </w:r>
    </w:p>
    <w:p w14:paraId="21356545" w14:textId="77777777" w:rsidR="00E85F48" w:rsidRDefault="00DE2CB8">
      <w:pPr>
        <w:spacing w:line="440" w:lineRule="exact"/>
        <w:ind w:firstLineChars="200" w:firstLine="480"/>
        <w:rPr>
          <w:rFonts w:eastAsia="楷体"/>
          <w:sz w:val="24"/>
          <w:szCs w:val="24"/>
        </w:rPr>
      </w:pPr>
      <w:r>
        <w:rPr>
          <w:rFonts w:eastAsia="楷体" w:hint="eastAsia"/>
          <w:sz w:val="24"/>
          <w:szCs w:val="24"/>
        </w:rPr>
        <w:t>（</w:t>
      </w:r>
      <w:r>
        <w:rPr>
          <w:rFonts w:eastAsia="楷体" w:hint="eastAsia"/>
          <w:sz w:val="24"/>
          <w:szCs w:val="24"/>
        </w:rPr>
        <w:t>3</w:t>
      </w:r>
      <w:r>
        <w:rPr>
          <w:rFonts w:eastAsia="楷体" w:hint="eastAsia"/>
          <w:sz w:val="24"/>
          <w:szCs w:val="24"/>
        </w:rPr>
        <w:t>）</w:t>
      </w:r>
      <w:r>
        <w:rPr>
          <w:rFonts w:eastAsia="楷体"/>
          <w:sz w:val="24"/>
          <w:szCs w:val="24"/>
        </w:rPr>
        <w:t>设计基于远端调控元件的靶向编辑策略，建立牧草关键功能元件的基因编辑与田间验证方法体系，推动从分子机制研究到田间应用的有效衔接，实现牧草优异性状精准改良的技术闭环。</w:t>
      </w:r>
    </w:p>
    <w:p w14:paraId="187ABF11" w14:textId="77777777" w:rsidR="00E85F48" w:rsidRDefault="00DE2CB8">
      <w:pPr>
        <w:snapToGrid w:val="0"/>
        <w:spacing w:line="440" w:lineRule="exact"/>
        <w:rPr>
          <w:rFonts w:eastAsia="楷体" w:cs="楷体"/>
          <w:b/>
          <w:sz w:val="24"/>
          <w:szCs w:val="24"/>
        </w:rPr>
      </w:pPr>
      <w:r>
        <w:rPr>
          <w:rFonts w:eastAsia="楷体" w:cs="楷体"/>
          <w:b/>
          <w:sz w:val="24"/>
          <w:szCs w:val="24"/>
        </w:rPr>
        <w:t>2.3</w:t>
      </w:r>
      <w:r>
        <w:rPr>
          <w:rFonts w:eastAsia="楷体" w:cs="楷体"/>
          <w:b/>
          <w:sz w:val="24"/>
          <w:szCs w:val="24"/>
        </w:rPr>
        <w:t>关键科学问题</w:t>
      </w:r>
    </w:p>
    <w:p w14:paraId="3800AF17" w14:textId="77777777" w:rsidR="00E85F48" w:rsidRDefault="00DE2CB8">
      <w:pPr>
        <w:spacing w:line="440" w:lineRule="exact"/>
        <w:ind w:firstLineChars="200" w:firstLine="480"/>
        <w:rPr>
          <w:rFonts w:eastAsia="楷体"/>
          <w:sz w:val="24"/>
          <w:szCs w:val="24"/>
        </w:rPr>
      </w:pPr>
      <w:r>
        <w:rPr>
          <w:rFonts w:eastAsia="楷体"/>
          <w:sz w:val="24"/>
          <w:szCs w:val="24"/>
        </w:rPr>
        <w:t>（</w:t>
      </w:r>
      <w:r>
        <w:rPr>
          <w:rFonts w:eastAsia="楷体"/>
          <w:sz w:val="24"/>
          <w:szCs w:val="24"/>
        </w:rPr>
        <w:t>1</w:t>
      </w:r>
      <w:r>
        <w:rPr>
          <w:rFonts w:eastAsia="楷体"/>
          <w:sz w:val="24"/>
          <w:szCs w:val="24"/>
        </w:rPr>
        <w:t>）如何精准识别牧草基因组中的远端调控元件及其靶基因，揭示其调控网络和作用机制？</w:t>
      </w:r>
      <w:r>
        <w:rPr>
          <w:rFonts w:eastAsia="楷体"/>
          <w:sz w:val="24"/>
          <w:szCs w:val="24"/>
        </w:rPr>
        <w:t xml:space="preserve">  </w:t>
      </w:r>
    </w:p>
    <w:p w14:paraId="0D49DCE0" w14:textId="77777777" w:rsidR="00E85F48" w:rsidRDefault="00DE2CB8">
      <w:pPr>
        <w:spacing w:line="440" w:lineRule="exact"/>
        <w:ind w:firstLineChars="200" w:firstLine="480"/>
        <w:rPr>
          <w:rFonts w:eastAsia="楷体"/>
          <w:sz w:val="24"/>
          <w:szCs w:val="24"/>
        </w:rPr>
      </w:pPr>
      <w:r>
        <w:rPr>
          <w:rFonts w:eastAsia="楷体"/>
          <w:sz w:val="24"/>
          <w:szCs w:val="24"/>
        </w:rPr>
        <w:t>（</w:t>
      </w:r>
      <w:r>
        <w:rPr>
          <w:rFonts w:eastAsia="楷体"/>
          <w:sz w:val="24"/>
          <w:szCs w:val="24"/>
        </w:rPr>
        <w:t>2</w:t>
      </w:r>
      <w:r>
        <w:rPr>
          <w:rFonts w:eastAsia="楷体"/>
          <w:sz w:val="24"/>
          <w:szCs w:val="24"/>
        </w:rPr>
        <w:t>）如何基于远端</w:t>
      </w:r>
      <w:r>
        <w:rPr>
          <w:rFonts w:eastAsia="楷体"/>
          <w:sz w:val="24"/>
          <w:szCs w:val="24"/>
        </w:rPr>
        <w:t>调控元件的功能解析，构建智能预测模型与精准育种体系，</w:t>
      </w:r>
      <w:r>
        <w:rPr>
          <w:rFonts w:eastAsia="楷体"/>
          <w:sz w:val="24"/>
          <w:szCs w:val="24"/>
        </w:rPr>
        <w:lastRenderedPageBreak/>
        <w:t>实现牧草重要性状的精准调控？</w:t>
      </w:r>
    </w:p>
    <w:permEnd w:id="216494250"/>
    <w:p w14:paraId="65AB36D8" w14:textId="77777777" w:rsidR="00E85F48" w:rsidRDefault="00DE2CB8">
      <w:pPr>
        <w:snapToGrid w:val="0"/>
        <w:spacing w:line="440" w:lineRule="exact"/>
        <w:ind w:firstLineChars="196" w:firstLine="549"/>
        <w:rPr>
          <w:rFonts w:ascii="楷体" w:eastAsia="楷体" w:hAnsi="楷体" w:cs="楷体_GB2312"/>
          <w:color w:val="0070C0"/>
          <w:sz w:val="28"/>
          <w:szCs w:val="28"/>
        </w:rPr>
      </w:pPr>
      <w:r>
        <w:rPr>
          <w:rFonts w:ascii="楷体" w:eastAsia="楷体" w:hAnsi="楷体"/>
          <w:color w:val="0070C0"/>
          <w:sz w:val="28"/>
          <w:szCs w:val="28"/>
        </w:rPr>
        <w:t>3</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拟采取的研究方案及可行性分析</w:t>
      </w:r>
      <w:r>
        <w:rPr>
          <w:rFonts w:ascii="楷体" w:eastAsia="楷体" w:hAnsi="楷体" w:cs="楷体_GB2312" w:hint="eastAsia"/>
          <w:color w:val="0070C0"/>
          <w:sz w:val="28"/>
          <w:szCs w:val="28"/>
        </w:rPr>
        <w:t>（包括研究方法、技术路线、实验手段、关键技术等说明）；</w:t>
      </w:r>
    </w:p>
    <w:p w14:paraId="7463E285" w14:textId="77777777" w:rsidR="00E85F48" w:rsidRDefault="00DE2CB8">
      <w:pPr>
        <w:snapToGrid w:val="0"/>
        <w:spacing w:line="440" w:lineRule="exact"/>
        <w:rPr>
          <w:rFonts w:eastAsia="楷体" w:cs="楷体"/>
          <w:b/>
          <w:sz w:val="24"/>
          <w:szCs w:val="24"/>
        </w:rPr>
      </w:pPr>
      <w:permStart w:id="1493318731" w:edGrp="everyone"/>
      <w:r>
        <w:rPr>
          <w:rFonts w:eastAsia="楷体" w:cs="楷体"/>
          <w:b/>
          <w:sz w:val="24"/>
          <w:szCs w:val="24"/>
        </w:rPr>
        <w:t xml:space="preserve">3.1 </w:t>
      </w:r>
      <w:r>
        <w:rPr>
          <w:rFonts w:eastAsia="楷体" w:cs="楷体"/>
          <w:b/>
          <w:sz w:val="24"/>
          <w:szCs w:val="24"/>
        </w:rPr>
        <w:t>研究方法</w:t>
      </w:r>
    </w:p>
    <w:p w14:paraId="36F5F14B" w14:textId="77777777" w:rsidR="00E85F48" w:rsidRDefault="00DE2CB8">
      <w:pPr>
        <w:snapToGrid w:val="0"/>
        <w:spacing w:line="440" w:lineRule="exact"/>
        <w:rPr>
          <w:rFonts w:eastAsia="楷体" w:cs="楷体"/>
          <w:b/>
          <w:sz w:val="24"/>
          <w:szCs w:val="24"/>
        </w:rPr>
      </w:pPr>
      <w:r>
        <w:rPr>
          <w:rFonts w:eastAsia="楷体" w:cs="楷体"/>
          <w:b/>
          <w:sz w:val="24"/>
          <w:szCs w:val="24"/>
        </w:rPr>
        <w:t>（</w:t>
      </w:r>
      <w:r>
        <w:rPr>
          <w:rFonts w:eastAsia="楷体" w:cs="楷体"/>
          <w:b/>
          <w:sz w:val="24"/>
          <w:szCs w:val="24"/>
        </w:rPr>
        <w:t>1</w:t>
      </w:r>
      <w:r>
        <w:rPr>
          <w:rFonts w:eastAsia="楷体" w:cs="楷体"/>
          <w:b/>
          <w:sz w:val="24"/>
          <w:szCs w:val="24"/>
        </w:rPr>
        <w:t>）</w:t>
      </w:r>
      <w:r>
        <w:rPr>
          <w:rFonts w:eastAsia="楷体" w:cs="楷体"/>
          <w:b/>
          <w:sz w:val="24"/>
          <w:szCs w:val="24"/>
        </w:rPr>
        <w:t xml:space="preserve"> </w:t>
      </w:r>
      <w:r>
        <w:rPr>
          <w:rFonts w:eastAsia="楷体" w:cs="楷体"/>
          <w:b/>
          <w:sz w:val="24"/>
          <w:szCs w:val="24"/>
        </w:rPr>
        <w:t>牧草</w:t>
      </w:r>
      <w:r>
        <w:rPr>
          <w:rFonts w:eastAsia="楷体" w:cs="楷体"/>
          <w:b/>
          <w:sz w:val="24"/>
          <w:szCs w:val="24"/>
        </w:rPr>
        <w:t>SNP</w:t>
      </w:r>
      <w:r>
        <w:rPr>
          <w:rFonts w:eastAsia="楷体" w:cs="楷体"/>
          <w:b/>
          <w:sz w:val="24"/>
          <w:szCs w:val="24"/>
        </w:rPr>
        <w:t>及</w:t>
      </w:r>
      <w:r>
        <w:rPr>
          <w:rFonts w:eastAsia="楷体" w:cs="楷体"/>
          <w:b/>
          <w:sz w:val="24"/>
          <w:szCs w:val="24"/>
        </w:rPr>
        <w:t>SV</w:t>
      </w:r>
      <w:r>
        <w:rPr>
          <w:rFonts w:eastAsia="楷体" w:cs="楷体"/>
          <w:b/>
          <w:sz w:val="24"/>
          <w:szCs w:val="24"/>
        </w:rPr>
        <w:t>数据构建与遗传变异基础解析</w:t>
      </w:r>
      <w:r>
        <w:rPr>
          <w:rFonts w:eastAsia="楷体" w:cs="楷体"/>
          <w:b/>
          <w:sz w:val="24"/>
          <w:szCs w:val="24"/>
        </w:rPr>
        <w:t xml:space="preserve">  </w:t>
      </w:r>
    </w:p>
    <w:p w14:paraId="14369028" w14:textId="77777777" w:rsidR="00E85F48" w:rsidRDefault="00DE2CB8">
      <w:pPr>
        <w:spacing w:line="440" w:lineRule="exact"/>
        <w:ind w:firstLineChars="200" w:firstLine="480"/>
        <w:rPr>
          <w:rFonts w:eastAsia="楷体"/>
          <w:sz w:val="24"/>
          <w:szCs w:val="24"/>
        </w:rPr>
      </w:pPr>
      <w:r>
        <w:rPr>
          <w:rFonts w:eastAsia="楷体"/>
          <w:sz w:val="24"/>
          <w:szCs w:val="24"/>
        </w:rPr>
        <w:t>全基因组高覆盖测序与多类型变异检测。拟采用</w:t>
      </w:r>
      <w:r>
        <w:rPr>
          <w:rFonts w:eastAsia="楷体"/>
          <w:sz w:val="24"/>
          <w:szCs w:val="24"/>
        </w:rPr>
        <w:t>PacBio/Oxford Nanopore</w:t>
      </w:r>
      <w:proofErr w:type="gramStart"/>
      <w:r>
        <w:rPr>
          <w:rFonts w:eastAsia="楷体"/>
          <w:sz w:val="24"/>
          <w:szCs w:val="24"/>
        </w:rPr>
        <w:t>长读长</w:t>
      </w:r>
      <w:proofErr w:type="gramEnd"/>
      <w:r>
        <w:rPr>
          <w:rFonts w:eastAsia="楷体"/>
          <w:sz w:val="24"/>
          <w:szCs w:val="24"/>
        </w:rPr>
        <w:t>与</w:t>
      </w:r>
      <w:r>
        <w:rPr>
          <w:rFonts w:eastAsia="楷体"/>
          <w:sz w:val="24"/>
          <w:szCs w:val="24"/>
        </w:rPr>
        <w:t>Illumina</w:t>
      </w:r>
      <w:r>
        <w:rPr>
          <w:rFonts w:eastAsia="楷体"/>
          <w:sz w:val="24"/>
          <w:szCs w:val="24"/>
        </w:rPr>
        <w:t>短读长相结合的混合组装策略，对多个牧草品种进行高</w:t>
      </w:r>
      <w:proofErr w:type="gramStart"/>
      <w:r>
        <w:rPr>
          <w:rFonts w:eastAsia="楷体"/>
          <w:sz w:val="24"/>
          <w:szCs w:val="24"/>
        </w:rPr>
        <w:t>覆盖度全基因组</w:t>
      </w:r>
      <w:proofErr w:type="gramEnd"/>
      <w:r>
        <w:rPr>
          <w:rFonts w:eastAsia="楷体"/>
          <w:sz w:val="24"/>
          <w:szCs w:val="24"/>
        </w:rPr>
        <w:t>测序，构建高质量参考基因组。通过严格的质量控制流程，利用</w:t>
      </w:r>
      <w:r>
        <w:rPr>
          <w:rFonts w:eastAsia="楷体"/>
          <w:sz w:val="24"/>
          <w:szCs w:val="24"/>
        </w:rPr>
        <w:t>GATK</w:t>
      </w:r>
      <w:r>
        <w:rPr>
          <w:rFonts w:eastAsia="楷体"/>
          <w:sz w:val="24"/>
          <w:szCs w:val="24"/>
        </w:rPr>
        <w:t>、</w:t>
      </w:r>
      <w:proofErr w:type="spellStart"/>
      <w:r>
        <w:rPr>
          <w:rFonts w:eastAsia="楷体"/>
          <w:sz w:val="24"/>
          <w:szCs w:val="24"/>
        </w:rPr>
        <w:t>DeepVariant</w:t>
      </w:r>
      <w:proofErr w:type="spellEnd"/>
      <w:r>
        <w:rPr>
          <w:rFonts w:eastAsia="楷体"/>
          <w:sz w:val="24"/>
          <w:szCs w:val="24"/>
        </w:rPr>
        <w:t>、</w:t>
      </w:r>
      <w:r>
        <w:rPr>
          <w:rFonts w:eastAsia="楷体"/>
          <w:sz w:val="24"/>
          <w:szCs w:val="24"/>
        </w:rPr>
        <w:t>Sniffles</w:t>
      </w:r>
      <w:r>
        <w:rPr>
          <w:rFonts w:eastAsia="楷体"/>
          <w:sz w:val="24"/>
          <w:szCs w:val="24"/>
        </w:rPr>
        <w:t>、</w:t>
      </w:r>
      <w:r>
        <w:rPr>
          <w:rFonts w:eastAsia="楷体"/>
          <w:sz w:val="24"/>
          <w:szCs w:val="24"/>
        </w:rPr>
        <w:t>Manta</w:t>
      </w:r>
      <w:r>
        <w:rPr>
          <w:rFonts w:eastAsia="楷体"/>
          <w:sz w:val="24"/>
          <w:szCs w:val="24"/>
        </w:rPr>
        <w:t>和</w:t>
      </w:r>
      <w:proofErr w:type="spellStart"/>
      <w:r>
        <w:rPr>
          <w:rFonts w:eastAsia="楷体"/>
          <w:sz w:val="24"/>
          <w:szCs w:val="24"/>
        </w:rPr>
        <w:t>CNVnator</w:t>
      </w:r>
      <w:proofErr w:type="spellEnd"/>
      <w:r>
        <w:rPr>
          <w:rFonts w:eastAsia="楷体"/>
          <w:sz w:val="24"/>
          <w:szCs w:val="24"/>
        </w:rPr>
        <w:t>等主流工具，精准检测</w:t>
      </w:r>
      <w:r>
        <w:rPr>
          <w:rFonts w:eastAsia="楷体"/>
          <w:sz w:val="24"/>
          <w:szCs w:val="24"/>
        </w:rPr>
        <w:t>SNP</w:t>
      </w:r>
      <w:r>
        <w:rPr>
          <w:rFonts w:eastAsia="楷体"/>
          <w:sz w:val="24"/>
          <w:szCs w:val="24"/>
        </w:rPr>
        <w:t>、</w:t>
      </w:r>
      <w:r>
        <w:rPr>
          <w:rFonts w:eastAsia="楷体"/>
          <w:sz w:val="24"/>
          <w:szCs w:val="24"/>
        </w:rPr>
        <w:t>SV</w:t>
      </w:r>
      <w:r>
        <w:rPr>
          <w:rFonts w:eastAsia="楷体"/>
          <w:sz w:val="24"/>
          <w:szCs w:val="24"/>
        </w:rPr>
        <w:t>及</w:t>
      </w:r>
      <w:r>
        <w:rPr>
          <w:rFonts w:eastAsia="楷体"/>
          <w:sz w:val="24"/>
          <w:szCs w:val="24"/>
        </w:rPr>
        <w:t>CNV</w:t>
      </w:r>
      <w:r>
        <w:rPr>
          <w:rFonts w:eastAsia="楷体"/>
          <w:sz w:val="24"/>
          <w:szCs w:val="24"/>
        </w:rPr>
        <w:t>等多类型遗传变异。结合</w:t>
      </w:r>
      <w:r>
        <w:rPr>
          <w:rFonts w:eastAsia="楷体"/>
          <w:sz w:val="24"/>
          <w:szCs w:val="24"/>
        </w:rPr>
        <w:t>Maker</w:t>
      </w:r>
      <w:r>
        <w:rPr>
          <w:rFonts w:eastAsia="楷体"/>
          <w:sz w:val="24"/>
          <w:szCs w:val="24"/>
        </w:rPr>
        <w:t>、</w:t>
      </w:r>
      <w:r>
        <w:rPr>
          <w:rFonts w:eastAsia="楷体"/>
          <w:sz w:val="24"/>
          <w:szCs w:val="24"/>
        </w:rPr>
        <w:t>Augustus</w:t>
      </w:r>
      <w:r>
        <w:rPr>
          <w:rFonts w:eastAsia="楷体"/>
          <w:sz w:val="24"/>
          <w:szCs w:val="24"/>
        </w:rPr>
        <w:t>等基因组注释工具，对变异位点在编码区和远端调控区域的分布规律进行统计与功能解析，筛选出可能</w:t>
      </w:r>
      <w:proofErr w:type="gramStart"/>
      <w:r>
        <w:rPr>
          <w:rFonts w:eastAsia="楷体"/>
          <w:sz w:val="24"/>
          <w:szCs w:val="24"/>
        </w:rPr>
        <w:t>介导重要</w:t>
      </w:r>
      <w:proofErr w:type="gramEnd"/>
      <w:r>
        <w:rPr>
          <w:rFonts w:eastAsia="楷体"/>
          <w:sz w:val="24"/>
          <w:szCs w:val="24"/>
        </w:rPr>
        <w:t>育种形状的关键调控区域。利用</w:t>
      </w:r>
      <w:r>
        <w:rPr>
          <w:rFonts w:eastAsia="楷体"/>
          <w:sz w:val="24"/>
          <w:szCs w:val="24"/>
        </w:rPr>
        <w:t>PCA</w:t>
      </w:r>
      <w:r>
        <w:rPr>
          <w:rFonts w:eastAsia="楷体"/>
          <w:sz w:val="24"/>
          <w:szCs w:val="24"/>
        </w:rPr>
        <w:t>、系统发育分析、核苷酸多样性计算及选择性清除信号扫描等群体遗传学与比较基因组学方法，对各品种间的遗传变异进行定量比较，解析遗传多样性格局和关键变异模式。</w:t>
      </w:r>
    </w:p>
    <w:p w14:paraId="0C451411" w14:textId="77777777" w:rsidR="00E85F48" w:rsidRDefault="00DE2CB8">
      <w:pPr>
        <w:spacing w:line="440" w:lineRule="exact"/>
        <w:ind w:firstLineChars="200" w:firstLine="480"/>
        <w:rPr>
          <w:rFonts w:eastAsia="楷体"/>
          <w:sz w:val="24"/>
          <w:szCs w:val="24"/>
        </w:rPr>
      </w:pPr>
      <w:r>
        <w:rPr>
          <w:rFonts w:eastAsia="楷体"/>
          <w:sz w:val="24"/>
          <w:szCs w:val="24"/>
        </w:rPr>
        <w:t>全基因组表型关联与数据库体系建设。在获得高覆盖测序与多类型遗传变异数据的基础上，整合基因型与目标性状表型信息，构建标准化的数据集。通过</w:t>
      </w:r>
      <w:r>
        <w:rPr>
          <w:rFonts w:eastAsia="楷体"/>
          <w:sz w:val="24"/>
          <w:szCs w:val="24"/>
        </w:rPr>
        <w:t>GWAS</w:t>
      </w:r>
      <w:r>
        <w:rPr>
          <w:rFonts w:eastAsia="楷体"/>
          <w:sz w:val="24"/>
          <w:szCs w:val="24"/>
        </w:rPr>
        <w:t>识别与生长、抗逆、品质等重要性状显著相关的遗传变异，并利用数量性状位点（</w:t>
      </w:r>
      <w:r>
        <w:rPr>
          <w:rFonts w:eastAsia="楷体"/>
          <w:sz w:val="24"/>
          <w:szCs w:val="24"/>
        </w:rPr>
        <w:t>QTL</w:t>
      </w:r>
      <w:r>
        <w:rPr>
          <w:rFonts w:eastAsia="楷体"/>
          <w:sz w:val="24"/>
          <w:szCs w:val="24"/>
        </w:rPr>
        <w:t>）作图定位关键性状调控区，同时，结合</w:t>
      </w:r>
      <w:proofErr w:type="gramStart"/>
      <w:r>
        <w:rPr>
          <w:rFonts w:eastAsia="楷体"/>
          <w:sz w:val="24"/>
          <w:szCs w:val="24"/>
        </w:rPr>
        <w:t>转录组</w:t>
      </w:r>
      <w:proofErr w:type="gramEnd"/>
      <w:r>
        <w:rPr>
          <w:rFonts w:eastAsia="楷体"/>
          <w:sz w:val="24"/>
          <w:szCs w:val="24"/>
        </w:rPr>
        <w:t>和表观组数据，构建多组学交叉分析平台，挖掘潜在调控网络和功能通路。在候选位点筛选后，采用</w:t>
      </w:r>
      <w:r>
        <w:rPr>
          <w:rFonts w:eastAsia="楷体"/>
          <w:sz w:val="24"/>
          <w:szCs w:val="24"/>
        </w:rPr>
        <w:t>Bonferroni</w:t>
      </w:r>
      <w:r>
        <w:rPr>
          <w:rFonts w:eastAsia="楷体"/>
          <w:sz w:val="24"/>
          <w:szCs w:val="24"/>
        </w:rPr>
        <w:t>校正和</w:t>
      </w:r>
      <w:r>
        <w:rPr>
          <w:rFonts w:eastAsia="楷体"/>
          <w:sz w:val="24"/>
          <w:szCs w:val="24"/>
        </w:rPr>
        <w:t>FDR</w:t>
      </w:r>
      <w:r>
        <w:rPr>
          <w:rFonts w:eastAsia="楷体"/>
          <w:sz w:val="24"/>
          <w:szCs w:val="24"/>
        </w:rPr>
        <w:t>控制等多重统计方法提高信号显著性和结果可靠性。最终，基于统一注释标准构建涵盖多品种、多区域的牧草遗传变异数据库，实现全基因组测序、</w:t>
      </w:r>
      <w:r>
        <w:rPr>
          <w:rFonts w:eastAsia="楷体"/>
          <w:sz w:val="24"/>
          <w:szCs w:val="24"/>
        </w:rPr>
        <w:t>遗传变异、表型信息和功能验证数据的高效存储、管理和检索。</w:t>
      </w:r>
    </w:p>
    <w:p w14:paraId="511F993B" w14:textId="77777777" w:rsidR="00E85F48" w:rsidRDefault="00DE2CB8">
      <w:pPr>
        <w:snapToGrid w:val="0"/>
        <w:spacing w:line="440" w:lineRule="exact"/>
        <w:rPr>
          <w:rFonts w:eastAsia="楷体" w:cs="楷体"/>
          <w:b/>
          <w:sz w:val="24"/>
          <w:szCs w:val="24"/>
        </w:rPr>
      </w:pPr>
      <w:r>
        <w:rPr>
          <w:rFonts w:eastAsia="楷体" w:cs="楷体"/>
          <w:b/>
          <w:sz w:val="24"/>
          <w:szCs w:val="24"/>
        </w:rPr>
        <w:t>（</w:t>
      </w:r>
      <w:r>
        <w:rPr>
          <w:rFonts w:eastAsia="楷体" w:cs="楷体"/>
          <w:b/>
          <w:sz w:val="24"/>
          <w:szCs w:val="24"/>
        </w:rPr>
        <w:t>2</w:t>
      </w:r>
      <w:r>
        <w:rPr>
          <w:rFonts w:eastAsia="楷体" w:cs="楷体"/>
          <w:b/>
          <w:sz w:val="24"/>
          <w:szCs w:val="24"/>
        </w:rPr>
        <w:t>）牧草远端调控元件功能解析与精准育种转化</w:t>
      </w:r>
      <w:r>
        <w:rPr>
          <w:rFonts w:eastAsia="楷体" w:cs="楷体"/>
          <w:b/>
          <w:sz w:val="24"/>
          <w:szCs w:val="24"/>
        </w:rPr>
        <w:t xml:space="preserve">  </w:t>
      </w:r>
    </w:p>
    <w:p w14:paraId="44464A18" w14:textId="77777777" w:rsidR="00E85F48" w:rsidRDefault="00DE2CB8">
      <w:pPr>
        <w:spacing w:line="440" w:lineRule="exact"/>
        <w:ind w:firstLineChars="200" w:firstLine="480"/>
        <w:rPr>
          <w:rFonts w:eastAsia="楷体"/>
          <w:sz w:val="24"/>
          <w:szCs w:val="24"/>
        </w:rPr>
      </w:pPr>
      <w:r>
        <w:rPr>
          <w:rFonts w:eastAsia="楷体"/>
          <w:sz w:val="24"/>
          <w:szCs w:val="24"/>
        </w:rPr>
        <w:t>基因组学整合与远端调控元件筛选。利用</w:t>
      </w:r>
      <w:r>
        <w:rPr>
          <w:rFonts w:eastAsia="楷体"/>
          <w:sz w:val="24"/>
          <w:szCs w:val="24"/>
        </w:rPr>
        <w:t>Hi-C</w:t>
      </w:r>
      <w:r>
        <w:rPr>
          <w:rFonts w:eastAsia="楷体"/>
          <w:sz w:val="24"/>
          <w:szCs w:val="24"/>
        </w:rPr>
        <w:t>、</w:t>
      </w:r>
      <w:proofErr w:type="spellStart"/>
      <w:r>
        <w:rPr>
          <w:rFonts w:eastAsia="楷体"/>
          <w:sz w:val="24"/>
          <w:szCs w:val="24"/>
        </w:rPr>
        <w:t>ChIA</w:t>
      </w:r>
      <w:proofErr w:type="spellEnd"/>
      <w:r>
        <w:rPr>
          <w:rFonts w:eastAsia="楷体"/>
          <w:sz w:val="24"/>
          <w:szCs w:val="24"/>
        </w:rPr>
        <w:t>-PET</w:t>
      </w:r>
      <w:r>
        <w:rPr>
          <w:rFonts w:eastAsia="楷体"/>
          <w:sz w:val="24"/>
          <w:szCs w:val="24"/>
        </w:rPr>
        <w:t>等三维基因组学技术构建牧草全基因组染色质互作图谱，解析染色质空间结构及其潜在的远端调控元件。结合</w:t>
      </w:r>
      <w:r>
        <w:rPr>
          <w:rFonts w:eastAsia="楷体"/>
          <w:sz w:val="24"/>
          <w:szCs w:val="24"/>
        </w:rPr>
        <w:t>ATAC-seq</w:t>
      </w:r>
      <w:r>
        <w:rPr>
          <w:rFonts w:eastAsia="楷体"/>
          <w:sz w:val="24"/>
          <w:szCs w:val="24"/>
        </w:rPr>
        <w:t>、</w:t>
      </w:r>
      <w:proofErr w:type="spellStart"/>
      <w:r>
        <w:rPr>
          <w:rFonts w:eastAsia="楷体"/>
          <w:sz w:val="24"/>
          <w:szCs w:val="24"/>
        </w:rPr>
        <w:t>ChIP</w:t>
      </w:r>
      <w:proofErr w:type="spellEnd"/>
      <w:r>
        <w:rPr>
          <w:rFonts w:eastAsia="楷体"/>
          <w:sz w:val="24"/>
          <w:szCs w:val="24"/>
        </w:rPr>
        <w:t>-seq</w:t>
      </w:r>
      <w:r>
        <w:rPr>
          <w:rFonts w:eastAsia="楷体"/>
          <w:sz w:val="24"/>
          <w:szCs w:val="24"/>
        </w:rPr>
        <w:t>及</w:t>
      </w:r>
      <w:r>
        <w:rPr>
          <w:rFonts w:eastAsia="楷体"/>
          <w:sz w:val="24"/>
          <w:szCs w:val="24"/>
        </w:rPr>
        <w:t>RNA-seq</w:t>
      </w:r>
      <w:r>
        <w:rPr>
          <w:rFonts w:eastAsia="楷体"/>
          <w:sz w:val="24"/>
          <w:szCs w:val="24"/>
        </w:rPr>
        <w:t>数据，</w:t>
      </w:r>
      <w:proofErr w:type="gramStart"/>
      <w:r>
        <w:rPr>
          <w:rFonts w:eastAsia="楷体"/>
          <w:sz w:val="24"/>
          <w:szCs w:val="24"/>
        </w:rPr>
        <w:t>对互作</w:t>
      </w:r>
      <w:proofErr w:type="gramEnd"/>
      <w:r>
        <w:rPr>
          <w:rFonts w:eastAsia="楷体"/>
          <w:sz w:val="24"/>
          <w:szCs w:val="24"/>
        </w:rPr>
        <w:t>热点区域的开放性、组蛋白修饰及转录活性进行系统评估。在数据采集与预处理阶段，采用统一的质量控制、噪声去除及批次效应校正，确保数据的一致性。基于多组学数据，通过随机森林、</w:t>
      </w:r>
      <w:proofErr w:type="spellStart"/>
      <w:r>
        <w:rPr>
          <w:rFonts w:eastAsia="楷体"/>
          <w:sz w:val="24"/>
          <w:szCs w:val="24"/>
        </w:rPr>
        <w:t>XGBoost</w:t>
      </w:r>
      <w:proofErr w:type="spellEnd"/>
      <w:r>
        <w:rPr>
          <w:rFonts w:eastAsia="楷体"/>
          <w:sz w:val="24"/>
          <w:szCs w:val="24"/>
        </w:rPr>
        <w:t>或</w:t>
      </w:r>
      <w:r>
        <w:rPr>
          <w:rFonts w:eastAsia="楷体"/>
          <w:sz w:val="24"/>
          <w:szCs w:val="24"/>
        </w:rPr>
        <w:t>深度学习网络等机器学习模型，筛选出具有远端调控潜力的关键元件。进一步</w:t>
      </w:r>
      <w:proofErr w:type="gramStart"/>
      <w:r>
        <w:rPr>
          <w:rFonts w:eastAsia="楷体"/>
          <w:sz w:val="24"/>
          <w:szCs w:val="24"/>
        </w:rPr>
        <w:t>结合全</w:t>
      </w:r>
      <w:proofErr w:type="gramEnd"/>
      <w:r>
        <w:rPr>
          <w:rFonts w:eastAsia="楷体"/>
          <w:sz w:val="24"/>
          <w:szCs w:val="24"/>
        </w:rPr>
        <w:t>基因组变异数据，构建调控元件</w:t>
      </w:r>
      <w:r>
        <w:rPr>
          <w:rFonts w:eastAsia="楷体"/>
          <w:sz w:val="24"/>
          <w:szCs w:val="24"/>
        </w:rPr>
        <w:t>-</w:t>
      </w:r>
      <w:r>
        <w:rPr>
          <w:rFonts w:eastAsia="楷体"/>
          <w:sz w:val="24"/>
          <w:szCs w:val="24"/>
        </w:rPr>
        <w:t>靶基因</w:t>
      </w:r>
      <w:r>
        <w:rPr>
          <w:rFonts w:eastAsia="楷体"/>
          <w:sz w:val="24"/>
          <w:szCs w:val="24"/>
        </w:rPr>
        <w:t>-</w:t>
      </w:r>
      <w:r>
        <w:rPr>
          <w:rFonts w:eastAsia="楷体"/>
          <w:sz w:val="24"/>
          <w:szCs w:val="24"/>
        </w:rPr>
        <w:t>性状关联网络，并通过</w:t>
      </w:r>
      <w:r>
        <w:rPr>
          <w:rFonts w:eastAsia="楷体"/>
          <w:sz w:val="24"/>
          <w:szCs w:val="24"/>
        </w:rPr>
        <w:t>GWAS</w:t>
      </w:r>
      <w:r>
        <w:rPr>
          <w:rFonts w:eastAsia="楷体"/>
          <w:sz w:val="24"/>
          <w:szCs w:val="24"/>
        </w:rPr>
        <w:t>及</w:t>
      </w:r>
      <w:proofErr w:type="spellStart"/>
      <w:r>
        <w:rPr>
          <w:rFonts w:eastAsia="楷体"/>
          <w:sz w:val="24"/>
          <w:szCs w:val="24"/>
        </w:rPr>
        <w:t>eQTL</w:t>
      </w:r>
      <w:proofErr w:type="spellEnd"/>
      <w:r>
        <w:rPr>
          <w:rFonts w:eastAsia="楷体"/>
          <w:sz w:val="24"/>
          <w:szCs w:val="24"/>
        </w:rPr>
        <w:t>分析评估遗传变异对调控活性及基因表达的影响，解析远端调控</w:t>
      </w:r>
      <w:r>
        <w:rPr>
          <w:rFonts w:eastAsia="楷体"/>
          <w:sz w:val="24"/>
          <w:szCs w:val="24"/>
        </w:rPr>
        <w:lastRenderedPageBreak/>
        <w:t>元件的作用机制。</w:t>
      </w:r>
    </w:p>
    <w:p w14:paraId="57955681" w14:textId="77777777" w:rsidR="00E85F48" w:rsidRDefault="00DE2CB8">
      <w:pPr>
        <w:spacing w:line="440" w:lineRule="exact"/>
        <w:ind w:firstLineChars="200" w:firstLine="480"/>
        <w:rPr>
          <w:rFonts w:ascii="Times New Roman Regular" w:hAnsi="Times New Roman Regular" w:cs="Times New Roman Regular"/>
          <w:sz w:val="24"/>
          <w:szCs w:val="24"/>
        </w:rPr>
      </w:pPr>
      <w:r>
        <w:rPr>
          <w:rFonts w:eastAsia="楷体"/>
          <w:sz w:val="24"/>
          <w:szCs w:val="24"/>
        </w:rPr>
        <w:t>多组学融合分析与人工智能算法解析。在锁定候选远端调控元件后，将基因组变异、表观组、</w:t>
      </w:r>
      <w:proofErr w:type="gramStart"/>
      <w:r>
        <w:rPr>
          <w:rFonts w:eastAsia="楷体"/>
          <w:sz w:val="24"/>
          <w:szCs w:val="24"/>
        </w:rPr>
        <w:t>转录组</w:t>
      </w:r>
      <w:proofErr w:type="gramEnd"/>
      <w:r>
        <w:rPr>
          <w:rFonts w:eastAsia="楷体"/>
          <w:sz w:val="24"/>
          <w:szCs w:val="24"/>
        </w:rPr>
        <w:t>和蛋白互作组等多维数据整合，结合染色质三维结构信息构建调控模型。利用图神经网络（</w:t>
      </w:r>
      <w:r>
        <w:rPr>
          <w:rFonts w:eastAsia="楷体"/>
          <w:sz w:val="24"/>
          <w:szCs w:val="24"/>
        </w:rPr>
        <w:t>GNN</w:t>
      </w:r>
      <w:r>
        <w:rPr>
          <w:rFonts w:eastAsia="楷体"/>
          <w:sz w:val="24"/>
          <w:szCs w:val="24"/>
        </w:rPr>
        <w:t>）对染色质互作网络进行拓扑分析，计算网络中心性、节点重要度及局部结构特征，筛选出在空间构象中具有关键调控效应的远端</w:t>
      </w:r>
      <w:r>
        <w:rPr>
          <w:rFonts w:eastAsia="楷体"/>
          <w:sz w:val="24"/>
          <w:szCs w:val="24"/>
        </w:rPr>
        <w:t>变异。</w:t>
      </w:r>
      <w:r>
        <w:rPr>
          <w:rFonts w:eastAsia="楷体" w:hint="eastAsia"/>
          <w:sz w:val="24"/>
          <w:szCs w:val="24"/>
        </w:rPr>
        <w:t>开发牧草特异性的</w:t>
      </w:r>
      <w:r>
        <w:rPr>
          <w:rFonts w:eastAsia="楷体" w:hint="eastAsia"/>
          <w:sz w:val="24"/>
          <w:szCs w:val="24"/>
        </w:rPr>
        <w:t>Transformer</w:t>
      </w:r>
      <w:r>
        <w:rPr>
          <w:rFonts w:eastAsia="楷体" w:hint="eastAsia"/>
          <w:sz w:val="24"/>
          <w:szCs w:val="24"/>
        </w:rPr>
        <w:t>架构模型</w:t>
      </w:r>
      <w:proofErr w:type="spellStart"/>
      <w:r>
        <w:rPr>
          <w:rFonts w:eastAsia="楷体" w:hint="eastAsia"/>
          <w:sz w:val="24"/>
          <w:szCs w:val="24"/>
        </w:rPr>
        <w:t>ForageBERT</w:t>
      </w:r>
      <w:proofErr w:type="spellEnd"/>
      <w:r>
        <w:rPr>
          <w:rFonts w:eastAsia="楷体" w:hint="eastAsia"/>
          <w:sz w:val="24"/>
          <w:szCs w:val="24"/>
        </w:rPr>
        <w:t>，支持超长序列（</w:t>
      </w:r>
      <w:r>
        <w:rPr>
          <w:rFonts w:eastAsia="楷体" w:hint="eastAsia"/>
          <w:sz w:val="24"/>
          <w:szCs w:val="24"/>
        </w:rPr>
        <w:t>&gt;100 kb</w:t>
      </w:r>
      <w:r>
        <w:rPr>
          <w:rFonts w:eastAsia="楷体" w:hint="eastAsia"/>
          <w:sz w:val="24"/>
          <w:szCs w:val="24"/>
        </w:rPr>
        <w:t>）远端调控元件的精准预测。模型融合</w:t>
      </w:r>
      <w:r>
        <w:rPr>
          <w:rFonts w:eastAsia="楷体" w:hint="eastAsia"/>
          <w:sz w:val="24"/>
          <w:szCs w:val="24"/>
        </w:rPr>
        <w:t>DNA</w:t>
      </w:r>
      <w:r>
        <w:rPr>
          <w:rFonts w:eastAsia="楷体" w:hint="eastAsia"/>
          <w:sz w:val="24"/>
          <w:szCs w:val="24"/>
        </w:rPr>
        <w:t>序列特征、表观修饰信号、基因表达水平和染色质可及性等多模态数据，基于注意力机制定量解析候选调控元件对关键性状的调控效应，为牧草性状改良与分子设计育种提供核心算法支撑</w:t>
      </w:r>
      <w:r>
        <w:rPr>
          <w:rFonts w:eastAsia="楷体"/>
          <w:sz w:val="24"/>
          <w:szCs w:val="24"/>
        </w:rPr>
        <w:t>。对预测可信度较高的调控元件，先利用体外电泳迁移率变动实验（</w:t>
      </w:r>
      <w:r>
        <w:rPr>
          <w:rFonts w:eastAsia="楷体"/>
          <w:sz w:val="24"/>
          <w:szCs w:val="24"/>
        </w:rPr>
        <w:t>EMSA</w:t>
      </w:r>
      <w:r>
        <w:rPr>
          <w:rFonts w:eastAsia="楷体"/>
          <w:sz w:val="24"/>
          <w:szCs w:val="24"/>
        </w:rPr>
        <w:t>）或染色质免疫共沉淀（</w:t>
      </w:r>
      <w:proofErr w:type="spellStart"/>
      <w:r>
        <w:rPr>
          <w:rFonts w:eastAsia="楷体"/>
          <w:sz w:val="24"/>
          <w:szCs w:val="24"/>
        </w:rPr>
        <w:t>ChIP</w:t>
      </w:r>
      <w:proofErr w:type="spellEnd"/>
      <w:r>
        <w:rPr>
          <w:rFonts w:eastAsia="楷体"/>
          <w:sz w:val="24"/>
          <w:szCs w:val="24"/>
        </w:rPr>
        <w:t>）验证其</w:t>
      </w:r>
      <w:r>
        <w:rPr>
          <w:rFonts w:eastAsia="楷体"/>
          <w:sz w:val="24"/>
          <w:szCs w:val="24"/>
        </w:rPr>
        <w:t>DNA</w:t>
      </w:r>
      <w:r>
        <w:rPr>
          <w:rFonts w:eastAsia="楷体"/>
          <w:sz w:val="24"/>
          <w:szCs w:val="24"/>
        </w:rPr>
        <w:t>结合能力及与特定转录因子的相互作用，再构建瞬时表达体系（如荧光素</w:t>
      </w:r>
      <w:proofErr w:type="gramStart"/>
      <w:r>
        <w:rPr>
          <w:rFonts w:eastAsia="楷体"/>
          <w:sz w:val="24"/>
          <w:szCs w:val="24"/>
        </w:rPr>
        <w:t>酶报告</w:t>
      </w:r>
      <w:proofErr w:type="gramEnd"/>
      <w:r>
        <w:rPr>
          <w:rFonts w:eastAsia="楷体"/>
          <w:sz w:val="24"/>
          <w:szCs w:val="24"/>
        </w:rPr>
        <w:t>实验或</w:t>
      </w:r>
      <w:r>
        <w:rPr>
          <w:rFonts w:eastAsia="楷体"/>
          <w:sz w:val="24"/>
          <w:szCs w:val="24"/>
        </w:rPr>
        <w:t>qPCR</w:t>
      </w:r>
      <w:r>
        <w:rPr>
          <w:rFonts w:eastAsia="楷体"/>
          <w:sz w:val="24"/>
          <w:szCs w:val="24"/>
        </w:rPr>
        <w:t>检测）从分</w:t>
      </w:r>
      <w:r>
        <w:rPr>
          <w:rFonts w:eastAsia="楷体"/>
          <w:sz w:val="24"/>
          <w:szCs w:val="24"/>
        </w:rPr>
        <w:t>子水平确认其调控功能。</w:t>
      </w:r>
    </w:p>
    <w:p w14:paraId="17248043" w14:textId="77777777" w:rsidR="00E85F48" w:rsidRDefault="00DE2CB8">
      <w:pPr>
        <w:snapToGrid w:val="0"/>
        <w:spacing w:line="440" w:lineRule="exact"/>
        <w:rPr>
          <w:rFonts w:eastAsia="楷体" w:cs="楷体"/>
          <w:b/>
          <w:sz w:val="24"/>
          <w:szCs w:val="24"/>
        </w:rPr>
      </w:pPr>
      <w:r>
        <w:rPr>
          <w:rFonts w:eastAsia="楷体" w:cs="楷体"/>
          <w:b/>
          <w:sz w:val="24"/>
          <w:szCs w:val="24"/>
        </w:rPr>
        <w:t>（</w:t>
      </w:r>
      <w:r>
        <w:rPr>
          <w:rFonts w:eastAsia="楷体" w:cs="楷体"/>
          <w:b/>
          <w:sz w:val="24"/>
          <w:szCs w:val="24"/>
        </w:rPr>
        <w:t>3</w:t>
      </w:r>
      <w:r>
        <w:rPr>
          <w:rFonts w:eastAsia="楷体" w:cs="楷体"/>
          <w:b/>
          <w:sz w:val="24"/>
          <w:szCs w:val="24"/>
        </w:rPr>
        <w:t>）关键调控元件功能验证与精准育种体系构建</w:t>
      </w:r>
      <w:r>
        <w:rPr>
          <w:rFonts w:eastAsia="楷体" w:cs="楷体"/>
          <w:b/>
          <w:sz w:val="24"/>
          <w:szCs w:val="24"/>
        </w:rPr>
        <w:t xml:space="preserve">  </w:t>
      </w:r>
    </w:p>
    <w:p w14:paraId="6E59454E" w14:textId="77777777" w:rsidR="00E85F48" w:rsidRDefault="00DE2CB8">
      <w:pPr>
        <w:spacing w:line="440" w:lineRule="exact"/>
        <w:ind w:firstLineChars="200" w:firstLine="480"/>
        <w:rPr>
          <w:rFonts w:eastAsia="楷体"/>
          <w:sz w:val="24"/>
          <w:szCs w:val="24"/>
        </w:rPr>
      </w:pPr>
      <w:r>
        <w:rPr>
          <w:rFonts w:eastAsia="楷体"/>
          <w:sz w:val="24"/>
          <w:szCs w:val="24"/>
        </w:rPr>
        <w:t>针对筛选出的远端调控元件，基于</w:t>
      </w:r>
      <w:r>
        <w:rPr>
          <w:rFonts w:eastAsia="楷体"/>
          <w:sz w:val="24"/>
          <w:szCs w:val="24"/>
        </w:rPr>
        <w:t>SpCas9-HF1</w:t>
      </w:r>
      <w:r>
        <w:rPr>
          <w:rFonts w:eastAsia="楷体"/>
          <w:sz w:val="24"/>
          <w:szCs w:val="24"/>
        </w:rPr>
        <w:t>高保真变体，设计特异性</w:t>
      </w:r>
      <w:r>
        <w:rPr>
          <w:rFonts w:eastAsia="楷体"/>
          <w:sz w:val="24"/>
          <w:szCs w:val="24"/>
        </w:rPr>
        <w:t>sgRNA</w:t>
      </w:r>
      <w:r>
        <w:rPr>
          <w:rFonts w:eastAsia="楷体"/>
          <w:sz w:val="24"/>
          <w:szCs w:val="24"/>
        </w:rPr>
        <w:t>并构建含有</w:t>
      </w:r>
      <w:r>
        <w:rPr>
          <w:rFonts w:eastAsia="楷体"/>
          <w:sz w:val="24"/>
          <w:szCs w:val="24"/>
        </w:rPr>
        <w:t>Cas9</w:t>
      </w:r>
      <w:r>
        <w:rPr>
          <w:rFonts w:eastAsia="楷体"/>
          <w:sz w:val="24"/>
          <w:szCs w:val="24"/>
        </w:rPr>
        <w:t>的表达载体。通过农杆菌</w:t>
      </w:r>
      <w:proofErr w:type="gramStart"/>
      <w:r>
        <w:rPr>
          <w:rFonts w:eastAsia="楷体"/>
          <w:sz w:val="24"/>
          <w:szCs w:val="24"/>
        </w:rPr>
        <w:t>介</w:t>
      </w:r>
      <w:proofErr w:type="gramEnd"/>
      <w:r>
        <w:rPr>
          <w:rFonts w:eastAsia="楷体"/>
          <w:sz w:val="24"/>
          <w:szCs w:val="24"/>
        </w:rPr>
        <w:t>导法或基因枪转化法将载体导入目标牧草材料。转化后，采用抗性筛选、</w:t>
      </w:r>
      <w:r>
        <w:rPr>
          <w:rFonts w:eastAsia="楷体"/>
          <w:sz w:val="24"/>
          <w:szCs w:val="24"/>
        </w:rPr>
        <w:t>T7EI</w:t>
      </w:r>
      <w:r>
        <w:rPr>
          <w:rFonts w:eastAsia="楷体"/>
          <w:sz w:val="24"/>
          <w:szCs w:val="24"/>
        </w:rPr>
        <w:t>酶切检测及</w:t>
      </w:r>
      <w:r>
        <w:rPr>
          <w:rFonts w:eastAsia="楷体"/>
          <w:sz w:val="24"/>
          <w:szCs w:val="24"/>
        </w:rPr>
        <w:t>Sanger</w:t>
      </w:r>
      <w:r>
        <w:rPr>
          <w:rFonts w:eastAsia="楷体"/>
          <w:sz w:val="24"/>
          <w:szCs w:val="24"/>
        </w:rPr>
        <w:t>测序确认编辑效率与类型，并结合</w:t>
      </w:r>
      <w:r>
        <w:rPr>
          <w:rFonts w:eastAsia="楷体"/>
          <w:sz w:val="24"/>
          <w:szCs w:val="24"/>
        </w:rPr>
        <w:t>30X</w:t>
      </w:r>
      <w:r>
        <w:rPr>
          <w:rFonts w:eastAsia="楷体"/>
          <w:sz w:val="24"/>
          <w:szCs w:val="24"/>
        </w:rPr>
        <w:t>深度全基因组测序（</w:t>
      </w:r>
      <w:r>
        <w:rPr>
          <w:rFonts w:eastAsia="楷体"/>
          <w:sz w:val="24"/>
          <w:szCs w:val="24"/>
        </w:rPr>
        <w:t>WGS</w:t>
      </w:r>
      <w:r>
        <w:rPr>
          <w:rFonts w:eastAsia="楷体"/>
          <w:sz w:val="24"/>
          <w:szCs w:val="24"/>
        </w:rPr>
        <w:t>）进行脱靶位点检测与评估，确保编辑的特异性和安全性。进一步利用</w:t>
      </w:r>
      <w:r>
        <w:rPr>
          <w:rFonts w:eastAsia="楷体"/>
          <w:sz w:val="24"/>
          <w:szCs w:val="24"/>
        </w:rPr>
        <w:t>RNA-seq</w:t>
      </w:r>
      <w:r>
        <w:rPr>
          <w:rFonts w:eastAsia="楷体"/>
          <w:sz w:val="24"/>
          <w:szCs w:val="24"/>
        </w:rPr>
        <w:t>分析目标基因及其调控网络的表达变化，结合</w:t>
      </w:r>
      <w:r>
        <w:rPr>
          <w:rFonts w:eastAsia="楷体"/>
          <w:sz w:val="24"/>
          <w:szCs w:val="24"/>
        </w:rPr>
        <w:t>ATAC-seq</w:t>
      </w:r>
      <w:r>
        <w:rPr>
          <w:rFonts w:eastAsia="楷体"/>
          <w:sz w:val="24"/>
          <w:szCs w:val="24"/>
        </w:rPr>
        <w:t>和</w:t>
      </w:r>
      <w:proofErr w:type="spellStart"/>
      <w:r>
        <w:rPr>
          <w:rFonts w:eastAsia="楷体"/>
          <w:sz w:val="24"/>
          <w:szCs w:val="24"/>
        </w:rPr>
        <w:t>ChIP</w:t>
      </w:r>
      <w:proofErr w:type="spellEnd"/>
      <w:r>
        <w:rPr>
          <w:rFonts w:eastAsia="楷体"/>
          <w:sz w:val="24"/>
          <w:szCs w:val="24"/>
        </w:rPr>
        <w:t>-seq</w:t>
      </w:r>
      <w:r>
        <w:rPr>
          <w:rFonts w:eastAsia="楷体"/>
          <w:sz w:val="24"/>
          <w:szCs w:val="24"/>
        </w:rPr>
        <w:t>剖析染色质</w:t>
      </w:r>
      <w:r>
        <w:rPr>
          <w:rFonts w:eastAsia="楷体"/>
          <w:sz w:val="24"/>
          <w:szCs w:val="24"/>
        </w:rPr>
        <w:t>可及性和表观修饰模式，系统评估基因编辑对染色质状态和远端调控效应的影响。采用</w:t>
      </w:r>
      <w:r>
        <w:rPr>
          <w:rFonts w:eastAsia="楷体"/>
          <w:sz w:val="24"/>
          <w:szCs w:val="24"/>
        </w:rPr>
        <w:t>3C/4C</w:t>
      </w:r>
      <w:r>
        <w:rPr>
          <w:rFonts w:eastAsia="楷体"/>
          <w:sz w:val="24"/>
          <w:szCs w:val="24"/>
        </w:rPr>
        <w:t>技术解析编辑位点在三维基因组结构中的空间互作变化，验证调控元件的功能机制。在不同牧草品种或近缘种质中重复实施基因编辑及组学验证流程，明确关键调控元件的普适效应。</w:t>
      </w:r>
    </w:p>
    <w:p w14:paraId="71C4BFAA" w14:textId="77777777" w:rsidR="00E85F48" w:rsidRDefault="00DE2CB8">
      <w:pPr>
        <w:spacing w:line="440" w:lineRule="exact"/>
        <w:ind w:firstLineChars="200" w:firstLine="480"/>
        <w:rPr>
          <w:rFonts w:eastAsia="楷体"/>
          <w:sz w:val="24"/>
          <w:szCs w:val="24"/>
        </w:rPr>
      </w:pPr>
      <w:r>
        <w:rPr>
          <w:rFonts w:eastAsia="楷体" w:hint="eastAsia"/>
          <w:sz w:val="24"/>
          <w:szCs w:val="24"/>
        </w:rPr>
        <w:t>在完成基因编辑材料分子检测与组学验证后，依托高寒草甸、温带草原和亚热带草地等不同生态区，开展多点田间试验。采用随机区组设计或裂区设计进行大规模种植。利用</w:t>
      </w:r>
      <w:r>
        <w:rPr>
          <w:rFonts w:eastAsia="楷体" w:hint="eastAsia"/>
          <w:sz w:val="24"/>
          <w:szCs w:val="24"/>
        </w:rPr>
        <w:t>qPCR</w:t>
      </w:r>
      <w:r>
        <w:rPr>
          <w:rFonts w:eastAsia="楷体" w:hint="eastAsia"/>
          <w:sz w:val="24"/>
          <w:szCs w:val="24"/>
        </w:rPr>
        <w:t>和高通量基因分型技术快速鉴定基因型，同时基于无人机遥感和高通量表型分析系统，采集株高、生物量、抗逆性等多</w:t>
      </w:r>
      <w:r>
        <w:rPr>
          <w:rFonts w:eastAsia="楷体" w:hint="eastAsia"/>
          <w:sz w:val="24"/>
          <w:szCs w:val="24"/>
        </w:rPr>
        <w:t>维表型数据。</w:t>
      </w:r>
      <w:proofErr w:type="gramStart"/>
      <w:r>
        <w:rPr>
          <w:rFonts w:eastAsia="楷体" w:hint="eastAsia"/>
          <w:sz w:val="24"/>
          <w:szCs w:val="24"/>
        </w:rPr>
        <w:t>结合高</w:t>
      </w:r>
      <w:proofErr w:type="gramEnd"/>
      <w:r>
        <w:rPr>
          <w:rFonts w:eastAsia="楷体" w:hint="eastAsia"/>
          <w:sz w:val="24"/>
          <w:szCs w:val="24"/>
        </w:rPr>
        <w:t>光谱成像和红外热成像技术，动态监测植株生长状态。通过计算机视觉算法及深度学习模型（如</w:t>
      </w:r>
      <w:r>
        <w:rPr>
          <w:rFonts w:eastAsia="楷体" w:hint="eastAsia"/>
          <w:sz w:val="24"/>
          <w:szCs w:val="24"/>
        </w:rPr>
        <w:t>YOLO</w:t>
      </w:r>
      <w:r>
        <w:rPr>
          <w:rFonts w:eastAsia="楷体" w:hint="eastAsia"/>
          <w:sz w:val="24"/>
          <w:szCs w:val="24"/>
        </w:rPr>
        <w:t>、</w:t>
      </w:r>
      <w:r>
        <w:rPr>
          <w:rFonts w:eastAsia="楷体" w:hint="eastAsia"/>
          <w:sz w:val="24"/>
          <w:szCs w:val="24"/>
        </w:rPr>
        <w:t>Mask R-CNN</w:t>
      </w:r>
      <w:r>
        <w:rPr>
          <w:rFonts w:eastAsia="楷体" w:hint="eastAsia"/>
          <w:sz w:val="24"/>
          <w:szCs w:val="24"/>
        </w:rPr>
        <w:t>），提升表型图像分析精度。整合表型数据、分子检测结果和环境因子信息，构建人工智能分析平台，基于机器学习算法训练性状预测模型，实现基因型与表型的智能匹配与动态反馈。最终构建“基因编辑—组学验证—田间试验—模型预测”的精准育种闭环体系。</w:t>
      </w:r>
    </w:p>
    <w:p w14:paraId="23F9C031" w14:textId="77777777" w:rsidR="00E85F48" w:rsidRDefault="00DE2CB8">
      <w:pPr>
        <w:snapToGrid w:val="0"/>
        <w:spacing w:line="440" w:lineRule="exact"/>
        <w:rPr>
          <w:rFonts w:eastAsia="楷体" w:cs="楷体"/>
          <w:b/>
          <w:sz w:val="24"/>
          <w:szCs w:val="24"/>
        </w:rPr>
      </w:pPr>
      <w:r>
        <w:rPr>
          <w:rFonts w:eastAsia="楷体" w:cs="楷体"/>
          <w:b/>
          <w:sz w:val="24"/>
          <w:szCs w:val="24"/>
        </w:rPr>
        <w:lastRenderedPageBreak/>
        <w:t>3.</w:t>
      </w:r>
      <w:r>
        <w:rPr>
          <w:rFonts w:eastAsia="楷体" w:cs="楷体" w:hint="eastAsia"/>
          <w:b/>
          <w:sz w:val="24"/>
          <w:szCs w:val="24"/>
        </w:rPr>
        <w:t>2</w:t>
      </w:r>
      <w:r>
        <w:rPr>
          <w:rFonts w:eastAsia="楷体" w:cs="楷体"/>
          <w:b/>
          <w:sz w:val="24"/>
          <w:szCs w:val="24"/>
        </w:rPr>
        <w:t xml:space="preserve"> </w:t>
      </w:r>
      <w:r>
        <w:rPr>
          <w:rFonts w:eastAsia="楷体" w:cs="楷体"/>
          <w:b/>
          <w:sz w:val="24"/>
          <w:szCs w:val="24"/>
        </w:rPr>
        <w:t>技术路线</w:t>
      </w:r>
    </w:p>
    <w:p w14:paraId="3F4ECCC7" w14:textId="60F74CDF" w:rsidR="00E85F48" w:rsidRDefault="00E85F48">
      <w:pPr>
        <w:spacing w:line="360" w:lineRule="auto"/>
        <w:jc w:val="center"/>
        <w:rPr>
          <w:rFonts w:eastAsia="楷体"/>
          <w:b/>
          <w:bCs/>
          <w:sz w:val="28"/>
          <w:szCs w:val="28"/>
        </w:rPr>
      </w:pPr>
    </w:p>
    <w:p w14:paraId="4D12B1E1" w14:textId="77777777" w:rsidR="00E85F48" w:rsidRDefault="00DE2CB8">
      <w:pPr>
        <w:spacing w:line="360" w:lineRule="auto"/>
        <w:jc w:val="center"/>
        <w:rPr>
          <w:rFonts w:eastAsia="楷体"/>
          <w:sz w:val="24"/>
          <w:szCs w:val="24"/>
        </w:rPr>
      </w:pPr>
      <w:r>
        <w:rPr>
          <w:rFonts w:eastAsia="楷体"/>
          <w:sz w:val="24"/>
          <w:szCs w:val="24"/>
        </w:rPr>
        <w:t>图</w:t>
      </w:r>
      <w:r>
        <w:rPr>
          <w:rFonts w:eastAsia="楷体"/>
          <w:sz w:val="24"/>
          <w:szCs w:val="24"/>
        </w:rPr>
        <w:t xml:space="preserve">4. </w:t>
      </w:r>
      <w:r>
        <w:rPr>
          <w:rFonts w:eastAsia="楷体"/>
          <w:sz w:val="24"/>
          <w:szCs w:val="24"/>
        </w:rPr>
        <w:t>技术路线图</w:t>
      </w:r>
    </w:p>
    <w:p w14:paraId="613ED86E" w14:textId="77777777" w:rsidR="00E85F48" w:rsidRDefault="00DE2CB8">
      <w:pPr>
        <w:snapToGrid w:val="0"/>
        <w:spacing w:line="440" w:lineRule="exact"/>
        <w:rPr>
          <w:rFonts w:eastAsia="楷体" w:cs="楷体"/>
          <w:b/>
          <w:sz w:val="24"/>
          <w:szCs w:val="24"/>
        </w:rPr>
      </w:pPr>
      <w:r>
        <w:rPr>
          <w:rFonts w:eastAsia="楷体" w:cs="楷体"/>
          <w:b/>
          <w:sz w:val="24"/>
          <w:szCs w:val="24"/>
        </w:rPr>
        <w:t xml:space="preserve">3.3 </w:t>
      </w:r>
      <w:r>
        <w:rPr>
          <w:rFonts w:eastAsia="楷体" w:cs="楷体"/>
          <w:b/>
          <w:sz w:val="24"/>
          <w:szCs w:val="24"/>
        </w:rPr>
        <w:t>关键技术</w:t>
      </w:r>
    </w:p>
    <w:p w14:paraId="4301F00B" w14:textId="77777777" w:rsidR="00E85F48" w:rsidRDefault="00DE2CB8">
      <w:pPr>
        <w:spacing w:line="440" w:lineRule="exact"/>
        <w:ind w:firstLineChars="200" w:firstLine="480"/>
        <w:rPr>
          <w:rFonts w:eastAsia="楷体"/>
          <w:sz w:val="24"/>
          <w:szCs w:val="24"/>
        </w:rPr>
      </w:pPr>
      <w:r>
        <w:rPr>
          <w:rFonts w:eastAsia="楷体"/>
          <w:sz w:val="24"/>
          <w:szCs w:val="24"/>
        </w:rPr>
        <w:t>本技术方案以</w:t>
      </w:r>
      <w:r>
        <w:rPr>
          <w:rFonts w:eastAsia="楷体"/>
          <w:sz w:val="24"/>
          <w:szCs w:val="24"/>
        </w:rPr>
        <w:t>Transformer</w:t>
      </w:r>
      <w:r>
        <w:rPr>
          <w:rFonts w:eastAsia="楷体"/>
          <w:sz w:val="24"/>
          <w:szCs w:val="24"/>
        </w:rPr>
        <w:t>为核心，通过嵌入生物学先验知识实现序列、表观及三维结构数据的多模态融合，旨在精准预测牧草远端调控元件。基于高通量</w:t>
      </w:r>
      <w:r>
        <w:rPr>
          <w:rFonts w:eastAsia="楷体"/>
          <w:sz w:val="24"/>
          <w:szCs w:val="24"/>
        </w:rPr>
        <w:t>DNA</w:t>
      </w:r>
      <w:r>
        <w:rPr>
          <w:rFonts w:eastAsia="楷体"/>
          <w:sz w:val="24"/>
          <w:szCs w:val="24"/>
        </w:rPr>
        <w:t>序列数据，通过</w:t>
      </w:r>
      <w:r>
        <w:rPr>
          <w:rFonts w:eastAsia="楷体"/>
          <w:sz w:val="24"/>
          <w:szCs w:val="24"/>
        </w:rPr>
        <w:t>Tokenization</w:t>
      </w:r>
      <w:r>
        <w:rPr>
          <w:rFonts w:eastAsia="楷体"/>
          <w:sz w:val="24"/>
          <w:szCs w:val="24"/>
        </w:rPr>
        <w:t>方法对序列进行分词，并结合转录因子结合位点、序列保守性及</w:t>
      </w:r>
      <w:proofErr w:type="spellStart"/>
      <w:r>
        <w:rPr>
          <w:rFonts w:eastAsia="楷体"/>
          <w:sz w:val="24"/>
          <w:szCs w:val="24"/>
        </w:rPr>
        <w:t>ChIP</w:t>
      </w:r>
      <w:proofErr w:type="spellEnd"/>
      <w:r>
        <w:rPr>
          <w:rFonts w:eastAsia="楷体"/>
          <w:sz w:val="24"/>
          <w:szCs w:val="24"/>
        </w:rPr>
        <w:t>-seq</w:t>
      </w:r>
      <w:r>
        <w:rPr>
          <w:rFonts w:eastAsia="楷体"/>
          <w:sz w:val="24"/>
          <w:szCs w:val="24"/>
        </w:rPr>
        <w:t>、</w:t>
      </w:r>
      <w:r>
        <w:rPr>
          <w:rFonts w:eastAsia="楷体"/>
          <w:sz w:val="24"/>
          <w:szCs w:val="24"/>
        </w:rPr>
        <w:t>ATAC-seq</w:t>
      </w:r>
      <w:r>
        <w:rPr>
          <w:rFonts w:eastAsia="楷体"/>
          <w:sz w:val="24"/>
          <w:szCs w:val="24"/>
        </w:rPr>
        <w:t>数据构成多通道输入向量</w:t>
      </w:r>
      <w:r>
        <w:rPr>
          <w:rFonts w:eastAsia="楷体" w:hint="eastAsia"/>
          <w:sz w:val="24"/>
          <w:szCs w:val="24"/>
        </w:rPr>
        <w:t>，结合图卷积神经网络进一步提取位点的位置信息</w:t>
      </w:r>
      <w:r>
        <w:rPr>
          <w:rFonts w:eastAsia="楷体"/>
          <w:sz w:val="24"/>
          <w:szCs w:val="24"/>
        </w:rPr>
        <w:t>。</w:t>
      </w:r>
    </w:p>
    <w:p w14:paraId="3C62A80B" w14:textId="77777777" w:rsidR="00E85F48" w:rsidRDefault="00DE2CB8">
      <w:pPr>
        <w:spacing w:line="440" w:lineRule="exact"/>
        <w:ind w:firstLineChars="200" w:firstLine="480"/>
        <w:rPr>
          <w:rFonts w:eastAsia="楷体"/>
          <w:sz w:val="24"/>
          <w:szCs w:val="24"/>
        </w:rPr>
      </w:pPr>
      <w:r>
        <w:rPr>
          <w:rFonts w:eastAsia="楷体"/>
          <w:sz w:val="24"/>
          <w:szCs w:val="24"/>
        </w:rPr>
        <w:t>与此同时，利用多头自注意力机制的</w:t>
      </w:r>
      <w:r>
        <w:rPr>
          <w:rFonts w:eastAsia="楷体"/>
          <w:sz w:val="24"/>
          <w:szCs w:val="24"/>
        </w:rPr>
        <w:t>Transformer</w:t>
      </w:r>
      <w:r>
        <w:rPr>
          <w:rFonts w:eastAsia="楷体"/>
          <w:sz w:val="24"/>
          <w:szCs w:val="24"/>
        </w:rPr>
        <w:t>模型既捕捉序列内长距离依赖关系，又通过专用注意力头聚焦于关键调控区域，并整合染色质三维位置信息进入模型。在</w:t>
      </w:r>
      <w:proofErr w:type="gramStart"/>
      <w:r>
        <w:rPr>
          <w:rFonts w:eastAsia="楷体"/>
          <w:sz w:val="24"/>
          <w:szCs w:val="24"/>
        </w:rPr>
        <w:t>预训练</w:t>
      </w:r>
      <w:proofErr w:type="gramEnd"/>
      <w:r>
        <w:rPr>
          <w:rFonts w:eastAsia="楷体"/>
          <w:sz w:val="24"/>
          <w:szCs w:val="24"/>
        </w:rPr>
        <w:t>阶段，依托大规模无监督生物序列</w:t>
      </w:r>
      <w:r>
        <w:rPr>
          <w:rFonts w:eastAsia="楷体"/>
          <w:sz w:val="24"/>
          <w:szCs w:val="24"/>
        </w:rPr>
        <w:t>数据构建基础语言模型，并通过领域微调实现对远端调控元件功能的精准预测；进一步，借助注意力图谱和特征贡献</w:t>
      </w:r>
      <w:proofErr w:type="gramStart"/>
      <w:r>
        <w:rPr>
          <w:rFonts w:eastAsia="楷体"/>
          <w:sz w:val="24"/>
          <w:szCs w:val="24"/>
        </w:rPr>
        <w:t>度分析</w:t>
      </w:r>
      <w:proofErr w:type="gramEnd"/>
      <w:r>
        <w:rPr>
          <w:rFonts w:eastAsia="楷体"/>
          <w:sz w:val="24"/>
          <w:szCs w:val="24"/>
        </w:rPr>
        <w:t>确保模型具有生物学可解释性，从而为</w:t>
      </w:r>
      <w:r>
        <w:rPr>
          <w:rFonts w:eastAsia="楷体"/>
          <w:sz w:val="24"/>
          <w:szCs w:val="24"/>
        </w:rPr>
        <w:t>CRISPR/Cas9</w:t>
      </w:r>
      <w:r>
        <w:rPr>
          <w:rFonts w:eastAsia="楷体"/>
          <w:sz w:val="24"/>
          <w:szCs w:val="24"/>
        </w:rPr>
        <w:t>基因编辑及分子育种提供精准靶点指导。</w:t>
      </w:r>
    </w:p>
    <w:p w14:paraId="2FD583DD" w14:textId="0A4CE892" w:rsidR="00E85F48" w:rsidRDefault="00E85F48">
      <w:pPr>
        <w:spacing w:line="360" w:lineRule="auto"/>
        <w:jc w:val="center"/>
        <w:rPr>
          <w:sz w:val="24"/>
          <w:szCs w:val="24"/>
        </w:rPr>
      </w:pPr>
    </w:p>
    <w:p w14:paraId="2D309545" w14:textId="77777777" w:rsidR="00E85F48" w:rsidRDefault="00DE2CB8">
      <w:pPr>
        <w:spacing w:line="360" w:lineRule="auto"/>
        <w:jc w:val="center"/>
        <w:rPr>
          <w:rFonts w:eastAsia="楷体"/>
          <w:sz w:val="24"/>
          <w:szCs w:val="24"/>
        </w:rPr>
      </w:pPr>
      <w:r>
        <w:rPr>
          <w:rFonts w:eastAsia="楷体"/>
          <w:sz w:val="24"/>
          <w:szCs w:val="24"/>
        </w:rPr>
        <w:t>图</w:t>
      </w:r>
      <w:r>
        <w:rPr>
          <w:rFonts w:eastAsia="楷体"/>
          <w:sz w:val="24"/>
          <w:szCs w:val="24"/>
        </w:rPr>
        <w:t>5. Transformer</w:t>
      </w:r>
      <w:r>
        <w:rPr>
          <w:rFonts w:eastAsia="楷体"/>
          <w:sz w:val="24"/>
          <w:szCs w:val="24"/>
        </w:rPr>
        <w:t>结合</w:t>
      </w:r>
      <w:r>
        <w:rPr>
          <w:rFonts w:eastAsia="楷体"/>
          <w:sz w:val="24"/>
          <w:szCs w:val="24"/>
        </w:rPr>
        <w:t>GNN</w:t>
      </w:r>
      <w:r>
        <w:rPr>
          <w:rFonts w:eastAsia="楷体"/>
          <w:sz w:val="24"/>
          <w:szCs w:val="24"/>
        </w:rPr>
        <w:t>架构位点寻找</w:t>
      </w:r>
    </w:p>
    <w:p w14:paraId="3BDB45B1" w14:textId="77777777" w:rsidR="00E85F48" w:rsidRDefault="00DE2CB8">
      <w:pPr>
        <w:snapToGrid w:val="0"/>
        <w:spacing w:line="440" w:lineRule="exact"/>
        <w:rPr>
          <w:rFonts w:eastAsia="楷体" w:cs="楷体"/>
          <w:b/>
          <w:sz w:val="24"/>
          <w:szCs w:val="24"/>
        </w:rPr>
      </w:pPr>
      <w:r>
        <w:rPr>
          <w:rFonts w:eastAsia="楷体" w:cs="楷体"/>
          <w:b/>
          <w:sz w:val="24"/>
          <w:szCs w:val="24"/>
        </w:rPr>
        <w:t xml:space="preserve">3.4 </w:t>
      </w:r>
      <w:r>
        <w:rPr>
          <w:rFonts w:eastAsia="楷体" w:cs="楷体"/>
          <w:b/>
          <w:sz w:val="24"/>
          <w:szCs w:val="24"/>
        </w:rPr>
        <w:t>可行性分析</w:t>
      </w:r>
    </w:p>
    <w:p w14:paraId="660D7808" w14:textId="77777777" w:rsidR="00E85F48" w:rsidRDefault="00DE2CB8">
      <w:pPr>
        <w:widowControl/>
        <w:spacing w:line="360" w:lineRule="auto"/>
        <w:rPr>
          <w:rFonts w:eastAsia="楷体"/>
          <w:b/>
          <w:bCs/>
          <w:sz w:val="24"/>
          <w:szCs w:val="24"/>
        </w:rPr>
      </w:pPr>
      <w:r>
        <w:rPr>
          <w:rFonts w:eastAsia="楷体"/>
          <w:b/>
          <w:bCs/>
          <w:sz w:val="24"/>
          <w:szCs w:val="24"/>
        </w:rPr>
        <w:t>（</w:t>
      </w:r>
      <w:r>
        <w:rPr>
          <w:rFonts w:eastAsia="楷体"/>
          <w:b/>
          <w:bCs/>
          <w:sz w:val="24"/>
          <w:szCs w:val="24"/>
        </w:rPr>
        <w:t>1</w:t>
      </w:r>
      <w:r>
        <w:rPr>
          <w:rFonts w:eastAsia="楷体"/>
          <w:b/>
          <w:bCs/>
          <w:sz w:val="24"/>
          <w:szCs w:val="24"/>
        </w:rPr>
        <w:t>）具备明确的理论可行</w:t>
      </w:r>
      <w:r>
        <w:rPr>
          <w:rFonts w:eastAsia="楷体" w:hint="eastAsia"/>
          <w:b/>
          <w:bCs/>
          <w:sz w:val="24"/>
          <w:szCs w:val="24"/>
        </w:rPr>
        <w:t>性</w:t>
      </w:r>
    </w:p>
    <w:p w14:paraId="2DC2B7DA" w14:textId="77777777" w:rsidR="00E85F48" w:rsidRDefault="00DE2CB8">
      <w:pPr>
        <w:widowControl/>
        <w:spacing w:line="440" w:lineRule="exact"/>
        <w:ind w:firstLineChars="200" w:firstLine="480"/>
        <w:rPr>
          <w:rFonts w:eastAsia="楷体"/>
          <w:sz w:val="24"/>
          <w:szCs w:val="24"/>
        </w:rPr>
      </w:pPr>
      <w:r>
        <w:rPr>
          <w:rFonts w:eastAsia="楷体"/>
          <w:sz w:val="24"/>
          <w:szCs w:val="24"/>
        </w:rPr>
        <w:t>人工智能与现代育种的深度融合已成为农业科技发展的必然趋势，全球正加速迈向</w:t>
      </w:r>
      <w:r>
        <w:rPr>
          <w:rFonts w:eastAsia="楷体" w:hint="eastAsia"/>
          <w:sz w:val="24"/>
          <w:szCs w:val="24"/>
        </w:rPr>
        <w:t>“</w:t>
      </w:r>
      <w:r>
        <w:rPr>
          <w:rFonts w:eastAsia="楷体"/>
          <w:sz w:val="24"/>
          <w:szCs w:val="24"/>
        </w:rPr>
        <w:t>AI+</w:t>
      </w:r>
      <w:r>
        <w:rPr>
          <w:rFonts w:eastAsia="楷体" w:hint="eastAsia"/>
          <w:sz w:val="24"/>
          <w:szCs w:val="24"/>
        </w:rPr>
        <w:t>”</w:t>
      </w:r>
      <w:r>
        <w:rPr>
          <w:rFonts w:eastAsia="楷体"/>
          <w:sz w:val="24"/>
          <w:szCs w:val="24"/>
        </w:rPr>
        <w:t>驱动的精准育种新时代。凭借卓越的数据处理和复杂模式识别能力，人工智能广泛应用于作物基因型</w:t>
      </w:r>
      <w:r>
        <w:rPr>
          <w:rFonts w:eastAsia="楷体"/>
          <w:sz w:val="24"/>
          <w:szCs w:val="24"/>
        </w:rPr>
        <w:t>—</w:t>
      </w:r>
      <w:r>
        <w:rPr>
          <w:rFonts w:eastAsia="楷体"/>
          <w:sz w:val="24"/>
          <w:szCs w:val="24"/>
        </w:rPr>
        <w:t>表型关联分析与复杂性状遗传机制解析，显著提升了育种效率和分子设计水平。牧草作为粮草安全与生态系统建设的核心作物，因多倍体基因组复杂、调控机制不明，遗传改良面临重大挑战，亟需引入人工智能等前沿技术实现精准高效育种。</w:t>
      </w:r>
    </w:p>
    <w:p w14:paraId="22140415" w14:textId="77777777" w:rsidR="00E85F48" w:rsidRDefault="00DE2CB8">
      <w:pPr>
        <w:widowControl/>
        <w:spacing w:line="440" w:lineRule="exact"/>
        <w:ind w:firstLineChars="200" w:firstLine="480"/>
        <w:rPr>
          <w:rFonts w:eastAsia="楷体"/>
          <w:sz w:val="24"/>
          <w:szCs w:val="24"/>
        </w:rPr>
      </w:pPr>
      <w:r>
        <w:rPr>
          <w:rFonts w:eastAsia="楷体"/>
          <w:sz w:val="24"/>
          <w:szCs w:val="24"/>
        </w:rPr>
        <w:t>近年来，人工智能在基因组选择和表型分析等育种关键环节展现出巨大潜力。</w:t>
      </w:r>
      <w:r>
        <w:rPr>
          <w:rFonts w:eastAsia="楷体"/>
          <w:sz w:val="24"/>
          <w:szCs w:val="24"/>
        </w:rPr>
        <w:t>AlphaFold</w:t>
      </w:r>
      <w:r>
        <w:rPr>
          <w:rFonts w:eastAsia="楷体"/>
          <w:sz w:val="24"/>
          <w:szCs w:val="24"/>
        </w:rPr>
        <w:t>实现蛋白质三维结构精准预测，极大加速功能基因挖掘与靶向改良（</w:t>
      </w:r>
      <w:r>
        <w:rPr>
          <w:rFonts w:eastAsia="楷体"/>
          <w:sz w:val="24"/>
          <w:szCs w:val="24"/>
        </w:rPr>
        <w:t>Jumper et al., 2021, Nature</w:t>
      </w:r>
      <w:r>
        <w:rPr>
          <w:rFonts w:eastAsia="楷体"/>
          <w:sz w:val="24"/>
          <w:szCs w:val="24"/>
        </w:rPr>
        <w:t>）。在全</w:t>
      </w:r>
      <w:r>
        <w:rPr>
          <w:rFonts w:eastAsia="楷体"/>
          <w:sz w:val="24"/>
          <w:szCs w:val="24"/>
        </w:rPr>
        <w:t>基因组选择（</w:t>
      </w:r>
      <w:r>
        <w:rPr>
          <w:rFonts w:eastAsia="楷体"/>
          <w:sz w:val="24"/>
          <w:szCs w:val="24"/>
        </w:rPr>
        <w:t>GS</w:t>
      </w:r>
      <w:r>
        <w:rPr>
          <w:rFonts w:eastAsia="楷体"/>
          <w:sz w:val="24"/>
          <w:szCs w:val="24"/>
        </w:rPr>
        <w:t>）中，深度神经网络优于传统模型，提高了小麦抗病性和产量预测准确率（</w:t>
      </w:r>
      <w:r>
        <w:rPr>
          <w:rFonts w:eastAsia="楷体"/>
          <w:sz w:val="24"/>
          <w:szCs w:val="24"/>
        </w:rPr>
        <w:t>Montesinos-López et al., 2018</w:t>
      </w:r>
      <w:r>
        <w:rPr>
          <w:rFonts w:eastAsia="楷体"/>
          <w:sz w:val="24"/>
          <w:szCs w:val="24"/>
        </w:rPr>
        <w:t>）。此外，</w:t>
      </w:r>
      <w:r>
        <w:rPr>
          <w:rFonts w:eastAsia="楷体"/>
          <w:sz w:val="24"/>
          <w:szCs w:val="24"/>
        </w:rPr>
        <w:t>AI</w:t>
      </w:r>
      <w:r>
        <w:rPr>
          <w:rFonts w:eastAsia="楷体"/>
          <w:sz w:val="24"/>
          <w:szCs w:val="24"/>
        </w:rPr>
        <w:t>辅助的</w:t>
      </w:r>
      <w:r>
        <w:rPr>
          <w:rFonts w:eastAsia="楷体"/>
          <w:sz w:val="24"/>
          <w:szCs w:val="24"/>
        </w:rPr>
        <w:t>CRISPR-Cas9</w:t>
      </w:r>
      <w:r>
        <w:rPr>
          <w:rFonts w:eastAsia="楷体"/>
          <w:sz w:val="24"/>
          <w:szCs w:val="24"/>
        </w:rPr>
        <w:t>设计显著优化了</w:t>
      </w:r>
      <w:r>
        <w:rPr>
          <w:rFonts w:eastAsia="楷体"/>
          <w:sz w:val="24"/>
          <w:szCs w:val="24"/>
        </w:rPr>
        <w:t>sgRNA</w:t>
      </w:r>
      <w:r>
        <w:rPr>
          <w:rFonts w:eastAsia="楷体"/>
          <w:sz w:val="24"/>
          <w:szCs w:val="24"/>
        </w:rPr>
        <w:t>筛选和脱靶效应控制（</w:t>
      </w:r>
      <w:r>
        <w:rPr>
          <w:rFonts w:eastAsia="楷体"/>
          <w:sz w:val="24"/>
          <w:szCs w:val="24"/>
        </w:rPr>
        <w:t xml:space="preserve">Kim et al., </w:t>
      </w:r>
      <w:r>
        <w:rPr>
          <w:rFonts w:eastAsia="楷体"/>
          <w:sz w:val="24"/>
          <w:szCs w:val="24"/>
        </w:rPr>
        <w:lastRenderedPageBreak/>
        <w:t>2021</w:t>
      </w:r>
      <w:r>
        <w:rPr>
          <w:rFonts w:eastAsia="楷体"/>
          <w:sz w:val="24"/>
          <w:szCs w:val="24"/>
        </w:rPr>
        <w:t>）</w:t>
      </w:r>
      <w:r>
        <w:rPr>
          <w:rFonts w:eastAsia="楷体" w:hint="eastAsia"/>
          <w:sz w:val="24"/>
          <w:szCs w:val="24"/>
        </w:rPr>
        <w:t>，凸显了人工智能技术与育种方法的深度融合在推动智慧育种中的显著优势，为本研究的进一步拓展与方法创新提供了清晰思路和方向。</w:t>
      </w:r>
    </w:p>
    <w:p w14:paraId="74ED63F4" w14:textId="77777777" w:rsidR="00E85F48" w:rsidRDefault="00DE2CB8">
      <w:pPr>
        <w:widowControl/>
        <w:spacing w:line="440" w:lineRule="exact"/>
        <w:ind w:firstLineChars="200" w:firstLine="480"/>
        <w:rPr>
          <w:sz w:val="24"/>
          <w:szCs w:val="24"/>
        </w:rPr>
      </w:pPr>
      <w:r>
        <w:rPr>
          <w:rFonts w:eastAsia="楷体" w:hint="eastAsia"/>
          <w:sz w:val="24"/>
          <w:szCs w:val="24"/>
        </w:rPr>
        <w:t>大量研究表明，远端调控元件（如增强子、绝缘子）在复杂农艺性状形成中发挥关键作用，但其作用机理复杂、组合多元，传统方法难以系统解析。</w:t>
      </w:r>
      <w:r>
        <w:rPr>
          <w:rFonts w:eastAsia="楷体" w:hint="eastAsia"/>
          <w:sz w:val="24"/>
          <w:szCs w:val="24"/>
        </w:rPr>
        <w:t>人工智能与多组学数据融合，有望突破复杂基因组调控解析的瓶颈，系统揭示牧草远端调控元件的功能机制，为复杂多倍体牧草精准育种提供理论基础和新的方法指引，助力实现突破性品种培育，推动牧草育种效率提升与种质资源创新利用，加快优异牧草品种的选育进程，促进草地农业高质量发展。</w:t>
      </w:r>
    </w:p>
    <w:p w14:paraId="52208F09" w14:textId="77777777" w:rsidR="00E85F48" w:rsidRDefault="00DE2CB8">
      <w:pPr>
        <w:widowControl/>
        <w:spacing w:line="360" w:lineRule="auto"/>
        <w:rPr>
          <w:rFonts w:eastAsia="楷体"/>
          <w:b/>
          <w:bCs/>
          <w:sz w:val="24"/>
          <w:szCs w:val="24"/>
        </w:rPr>
      </w:pPr>
      <w:r>
        <w:rPr>
          <w:rFonts w:eastAsia="楷体"/>
          <w:b/>
          <w:bCs/>
          <w:sz w:val="24"/>
          <w:szCs w:val="24"/>
        </w:rPr>
        <w:t>（</w:t>
      </w:r>
      <w:r>
        <w:rPr>
          <w:rFonts w:eastAsia="楷体"/>
          <w:b/>
          <w:bCs/>
          <w:sz w:val="24"/>
          <w:szCs w:val="24"/>
        </w:rPr>
        <w:t>2</w:t>
      </w:r>
      <w:r>
        <w:rPr>
          <w:rFonts w:eastAsia="楷体"/>
          <w:b/>
          <w:bCs/>
          <w:sz w:val="24"/>
          <w:szCs w:val="24"/>
        </w:rPr>
        <w:t>）具备清晰的方案</w:t>
      </w:r>
      <w:r>
        <w:rPr>
          <w:rFonts w:eastAsia="楷体" w:hint="eastAsia"/>
          <w:b/>
          <w:bCs/>
          <w:sz w:val="24"/>
          <w:szCs w:val="24"/>
        </w:rPr>
        <w:t>可行性</w:t>
      </w:r>
    </w:p>
    <w:p w14:paraId="461C2ECD" w14:textId="77777777" w:rsidR="00E85F48" w:rsidRDefault="00DE2CB8">
      <w:pPr>
        <w:widowControl/>
        <w:spacing w:line="440" w:lineRule="exact"/>
        <w:ind w:firstLineChars="200" w:firstLine="480"/>
        <w:rPr>
          <w:rFonts w:eastAsia="楷体"/>
          <w:sz w:val="24"/>
          <w:szCs w:val="24"/>
        </w:rPr>
      </w:pPr>
      <w:r>
        <w:rPr>
          <w:rFonts w:eastAsia="楷体"/>
          <w:sz w:val="24"/>
          <w:szCs w:val="24"/>
        </w:rPr>
        <w:t>本项目研究方案设计科学、技术路线成熟，依托坚实的数据基础、先进的方法体系和完善的实施条件，确保研究目标具备较强的实现可能性。</w:t>
      </w:r>
    </w:p>
    <w:p w14:paraId="423C42D8" w14:textId="77777777" w:rsidR="00E85F48" w:rsidRDefault="00DE2CB8">
      <w:pPr>
        <w:widowControl/>
        <w:spacing w:line="440" w:lineRule="exact"/>
        <w:ind w:firstLineChars="200" w:firstLine="480"/>
        <w:rPr>
          <w:rFonts w:eastAsia="楷体"/>
          <w:sz w:val="24"/>
          <w:szCs w:val="24"/>
        </w:rPr>
      </w:pPr>
      <w:r>
        <w:rPr>
          <w:rFonts w:eastAsia="楷体"/>
          <w:sz w:val="24"/>
          <w:szCs w:val="24"/>
        </w:rPr>
        <w:t>数据基础方面，课题组已完成高</w:t>
      </w:r>
      <w:proofErr w:type="gramStart"/>
      <w:r>
        <w:rPr>
          <w:rFonts w:eastAsia="楷体"/>
          <w:sz w:val="24"/>
          <w:szCs w:val="24"/>
        </w:rPr>
        <w:t>覆盖度全基因组</w:t>
      </w:r>
      <w:proofErr w:type="gramEnd"/>
      <w:r>
        <w:rPr>
          <w:rFonts w:eastAsia="楷体"/>
          <w:sz w:val="24"/>
          <w:szCs w:val="24"/>
        </w:rPr>
        <w:t>测序，系统采集和整合了多个牧草品种的</w:t>
      </w:r>
      <w:r>
        <w:rPr>
          <w:rFonts w:eastAsia="楷体"/>
          <w:sz w:val="24"/>
          <w:szCs w:val="24"/>
        </w:rPr>
        <w:t>SNP</w:t>
      </w:r>
      <w:r>
        <w:rPr>
          <w:rFonts w:eastAsia="楷体"/>
          <w:sz w:val="24"/>
          <w:szCs w:val="24"/>
        </w:rPr>
        <w:t>、</w:t>
      </w:r>
      <w:r>
        <w:rPr>
          <w:rFonts w:eastAsia="楷体"/>
          <w:sz w:val="24"/>
          <w:szCs w:val="24"/>
        </w:rPr>
        <w:t>SV</w:t>
      </w:r>
      <w:r>
        <w:rPr>
          <w:rFonts w:eastAsia="楷体"/>
          <w:sz w:val="24"/>
          <w:szCs w:val="24"/>
        </w:rPr>
        <w:t>多</w:t>
      </w:r>
      <w:r>
        <w:rPr>
          <w:rFonts w:eastAsia="楷体"/>
          <w:sz w:val="24"/>
          <w:szCs w:val="24"/>
        </w:rPr>
        <w:t>类型遗传变异数据，积累了丰富的全基因组变异检测与数据库构建经验。拟建设的牧草基因组变异数据库采用国际主流标准（如</w:t>
      </w:r>
      <w:r>
        <w:rPr>
          <w:rFonts w:eastAsia="楷体"/>
          <w:sz w:val="24"/>
          <w:szCs w:val="24"/>
        </w:rPr>
        <w:t>VCF</w:t>
      </w:r>
      <w:r>
        <w:rPr>
          <w:rFonts w:eastAsia="楷体"/>
          <w:sz w:val="24"/>
          <w:szCs w:val="24"/>
        </w:rPr>
        <w:t>格式）和优化的索引检索技术，实现多品种遗传变异数据的标准化处理与高效信息挖掘，为远端调控元件的系统识别和功能注释奠定坚实基础。</w:t>
      </w:r>
    </w:p>
    <w:p w14:paraId="1CDD202D" w14:textId="77777777" w:rsidR="00E85F48" w:rsidRDefault="00DE2CB8">
      <w:pPr>
        <w:widowControl/>
        <w:spacing w:line="440" w:lineRule="exact"/>
        <w:ind w:firstLineChars="200" w:firstLine="480"/>
        <w:rPr>
          <w:rFonts w:eastAsia="楷体"/>
          <w:sz w:val="24"/>
          <w:szCs w:val="24"/>
        </w:rPr>
      </w:pPr>
      <w:r>
        <w:rPr>
          <w:rFonts w:eastAsia="楷体"/>
          <w:sz w:val="24"/>
          <w:szCs w:val="24"/>
        </w:rPr>
        <w:t>研究方法方面，项目在远端调控元件功能解析技术上具有显著创新。通过整合</w:t>
      </w:r>
      <w:r>
        <w:rPr>
          <w:rFonts w:eastAsia="楷体"/>
          <w:sz w:val="24"/>
          <w:szCs w:val="24"/>
        </w:rPr>
        <w:t>Hi-C</w:t>
      </w:r>
      <w:r>
        <w:rPr>
          <w:rFonts w:eastAsia="楷体"/>
          <w:sz w:val="24"/>
          <w:szCs w:val="24"/>
        </w:rPr>
        <w:t>、</w:t>
      </w:r>
      <w:r>
        <w:rPr>
          <w:rFonts w:eastAsia="楷体"/>
          <w:sz w:val="24"/>
          <w:szCs w:val="24"/>
        </w:rPr>
        <w:t>ATAC-seq</w:t>
      </w:r>
      <w:r>
        <w:rPr>
          <w:rFonts w:eastAsia="楷体"/>
          <w:sz w:val="24"/>
          <w:szCs w:val="24"/>
        </w:rPr>
        <w:t>、</w:t>
      </w:r>
      <w:proofErr w:type="spellStart"/>
      <w:r>
        <w:rPr>
          <w:rFonts w:eastAsia="楷体"/>
          <w:sz w:val="24"/>
          <w:szCs w:val="24"/>
        </w:rPr>
        <w:t>ChIP</w:t>
      </w:r>
      <w:proofErr w:type="spellEnd"/>
      <w:r>
        <w:rPr>
          <w:rFonts w:eastAsia="楷体"/>
          <w:sz w:val="24"/>
          <w:szCs w:val="24"/>
        </w:rPr>
        <w:t>-seq</w:t>
      </w:r>
      <w:r>
        <w:rPr>
          <w:rFonts w:eastAsia="楷体"/>
          <w:sz w:val="24"/>
          <w:szCs w:val="24"/>
        </w:rPr>
        <w:t>等三维基因组数据，结合</w:t>
      </w:r>
      <w:r>
        <w:rPr>
          <w:rFonts w:eastAsia="楷体"/>
          <w:sz w:val="24"/>
          <w:szCs w:val="24"/>
        </w:rPr>
        <w:t>RNA-seq</w:t>
      </w:r>
      <w:r>
        <w:rPr>
          <w:rFonts w:eastAsia="楷体"/>
          <w:sz w:val="24"/>
          <w:szCs w:val="24"/>
        </w:rPr>
        <w:t>和表型信息，系统揭示染色质空间结构与远端调控元件的功能关联，深入解析其在基因表达调控中的作用机制。基于深度学习、图神经</w:t>
      </w:r>
      <w:r>
        <w:rPr>
          <w:rFonts w:eastAsia="楷体"/>
          <w:sz w:val="24"/>
          <w:szCs w:val="24"/>
        </w:rPr>
        <w:t>网络和因果推理算法，构建</w:t>
      </w:r>
      <w:r>
        <w:rPr>
          <w:rFonts w:eastAsia="楷体" w:hint="eastAsia"/>
          <w:sz w:val="24"/>
          <w:szCs w:val="24"/>
        </w:rPr>
        <w:t>“</w:t>
      </w:r>
      <w:r>
        <w:rPr>
          <w:rFonts w:eastAsia="楷体"/>
          <w:sz w:val="24"/>
          <w:szCs w:val="24"/>
        </w:rPr>
        <w:t>序列</w:t>
      </w:r>
      <w:r>
        <w:rPr>
          <w:rFonts w:eastAsia="楷体"/>
          <w:sz w:val="24"/>
          <w:szCs w:val="24"/>
        </w:rPr>
        <w:t>—</w:t>
      </w:r>
      <w:r>
        <w:rPr>
          <w:rFonts w:eastAsia="楷体"/>
          <w:sz w:val="24"/>
          <w:szCs w:val="24"/>
        </w:rPr>
        <w:t>空间结构</w:t>
      </w:r>
      <w:r>
        <w:rPr>
          <w:rFonts w:eastAsia="楷体"/>
          <w:sz w:val="24"/>
          <w:szCs w:val="24"/>
        </w:rPr>
        <w:t>—</w:t>
      </w:r>
      <w:r>
        <w:rPr>
          <w:rFonts w:eastAsia="楷体"/>
          <w:sz w:val="24"/>
          <w:szCs w:val="24"/>
        </w:rPr>
        <w:t>表型</w:t>
      </w:r>
      <w:r>
        <w:rPr>
          <w:rFonts w:eastAsia="楷体" w:hint="eastAsia"/>
          <w:sz w:val="24"/>
          <w:szCs w:val="24"/>
        </w:rPr>
        <w:t>”</w:t>
      </w:r>
      <w:r>
        <w:rPr>
          <w:rFonts w:eastAsia="楷体"/>
          <w:sz w:val="24"/>
          <w:szCs w:val="24"/>
        </w:rPr>
        <w:t>三位一体的数据分析框架，突破传统</w:t>
      </w:r>
      <w:r>
        <w:rPr>
          <w:rFonts w:eastAsia="楷体"/>
          <w:sz w:val="24"/>
          <w:szCs w:val="24"/>
        </w:rPr>
        <w:t>GWAS</w:t>
      </w:r>
      <w:r>
        <w:rPr>
          <w:rFonts w:eastAsia="楷体"/>
          <w:sz w:val="24"/>
          <w:szCs w:val="24"/>
        </w:rPr>
        <w:t>方法的局限，显著提升远端调控元件识别与功能预测的准确性和效率。</w:t>
      </w:r>
    </w:p>
    <w:p w14:paraId="6A2831AA" w14:textId="77777777" w:rsidR="00E85F48" w:rsidRDefault="00DE2CB8">
      <w:pPr>
        <w:widowControl/>
        <w:spacing w:line="440" w:lineRule="exact"/>
        <w:ind w:firstLineChars="200" w:firstLine="480"/>
        <w:rPr>
          <w:rFonts w:eastAsia="楷体"/>
          <w:sz w:val="24"/>
          <w:szCs w:val="24"/>
        </w:rPr>
      </w:pPr>
      <w:r>
        <w:rPr>
          <w:rFonts w:eastAsia="楷体"/>
          <w:sz w:val="24"/>
          <w:szCs w:val="24"/>
        </w:rPr>
        <w:t>功能验证与精准育种方面，依托</w:t>
      </w:r>
      <w:r>
        <w:rPr>
          <w:rFonts w:eastAsia="楷体"/>
          <w:sz w:val="24"/>
          <w:szCs w:val="24"/>
        </w:rPr>
        <w:t>CRISPR/Cas9</w:t>
      </w:r>
      <w:r>
        <w:rPr>
          <w:rFonts w:eastAsia="楷体"/>
          <w:sz w:val="24"/>
          <w:szCs w:val="24"/>
        </w:rPr>
        <w:t>基因编辑技术，开展关键远端调控元件的靶向编辑与功能验证，结合</w:t>
      </w:r>
      <w:r>
        <w:rPr>
          <w:rFonts w:eastAsia="楷体"/>
          <w:sz w:val="24"/>
          <w:szCs w:val="24"/>
        </w:rPr>
        <w:t>3C/4C</w:t>
      </w:r>
      <w:r>
        <w:rPr>
          <w:rFonts w:eastAsia="楷体"/>
          <w:sz w:val="24"/>
          <w:szCs w:val="24"/>
        </w:rPr>
        <w:t>等空间互作检测手段，系统阐明其</w:t>
      </w:r>
      <w:proofErr w:type="gramStart"/>
      <w:r>
        <w:rPr>
          <w:rFonts w:eastAsia="楷体"/>
          <w:sz w:val="24"/>
          <w:szCs w:val="24"/>
        </w:rPr>
        <w:t>介</w:t>
      </w:r>
      <w:proofErr w:type="gramEnd"/>
      <w:r>
        <w:rPr>
          <w:rFonts w:eastAsia="楷体"/>
          <w:sz w:val="24"/>
          <w:szCs w:val="24"/>
        </w:rPr>
        <w:t>导的基因表达调控机制。通过农杆菌</w:t>
      </w:r>
      <w:proofErr w:type="gramStart"/>
      <w:r>
        <w:rPr>
          <w:rFonts w:eastAsia="楷体"/>
          <w:sz w:val="24"/>
          <w:szCs w:val="24"/>
        </w:rPr>
        <w:t>介</w:t>
      </w:r>
      <w:proofErr w:type="gramEnd"/>
      <w:r>
        <w:rPr>
          <w:rFonts w:eastAsia="楷体"/>
          <w:sz w:val="24"/>
          <w:szCs w:val="24"/>
        </w:rPr>
        <w:t>导的遗传转化体系，并联合</w:t>
      </w:r>
      <w:r>
        <w:rPr>
          <w:rFonts w:eastAsia="楷体"/>
          <w:sz w:val="24"/>
          <w:szCs w:val="24"/>
        </w:rPr>
        <w:t>Hi-C</w:t>
      </w:r>
      <w:r>
        <w:rPr>
          <w:rFonts w:eastAsia="楷体"/>
          <w:sz w:val="24"/>
          <w:szCs w:val="24"/>
        </w:rPr>
        <w:t>、</w:t>
      </w:r>
      <w:r>
        <w:rPr>
          <w:rFonts w:eastAsia="楷体"/>
          <w:sz w:val="24"/>
          <w:szCs w:val="24"/>
        </w:rPr>
        <w:t>ATAC-seq</w:t>
      </w:r>
      <w:r>
        <w:rPr>
          <w:rFonts w:eastAsia="楷体"/>
          <w:sz w:val="24"/>
          <w:szCs w:val="24"/>
        </w:rPr>
        <w:t>、</w:t>
      </w:r>
      <w:r>
        <w:rPr>
          <w:rFonts w:eastAsia="楷体"/>
          <w:sz w:val="24"/>
          <w:szCs w:val="24"/>
        </w:rPr>
        <w:t>RNA-seq</w:t>
      </w:r>
      <w:r>
        <w:rPr>
          <w:rFonts w:eastAsia="楷体"/>
          <w:sz w:val="24"/>
          <w:szCs w:val="24"/>
        </w:rPr>
        <w:t>等多组学数据，解析编辑材料中染色质空间构象与转录调控的动态变化。依托分子标记辅助选择和高通量表型分析平台，在</w:t>
      </w:r>
      <w:r>
        <w:rPr>
          <w:rFonts w:eastAsia="楷体"/>
          <w:sz w:val="24"/>
          <w:szCs w:val="24"/>
        </w:rPr>
        <w:t>不同生态区开展多点田间试验，系统评价改良材料在生长、抗逆性和品质等方面的综合表现。基于</w:t>
      </w:r>
      <w:r>
        <w:rPr>
          <w:rFonts w:eastAsia="楷体"/>
          <w:sz w:val="24"/>
          <w:szCs w:val="24"/>
        </w:rPr>
        <w:t>AI</w:t>
      </w:r>
      <w:r>
        <w:rPr>
          <w:rFonts w:eastAsia="楷体"/>
          <w:sz w:val="24"/>
          <w:szCs w:val="24"/>
        </w:rPr>
        <w:t>算法构建性状预测模型与智能反馈系统，实现基因编辑到田间筛选的精准育种闭环，显著提升牧草育种效率与成果转化能力，具备广阔应用前景和产业化潜力。</w:t>
      </w:r>
      <w:r>
        <w:rPr>
          <w:rFonts w:eastAsia="楷体" w:hint="eastAsia"/>
          <w:sz w:val="24"/>
          <w:szCs w:val="24"/>
        </w:rPr>
        <w:t>同时产生的新品种牧草通过验证对畜牧业发展有实质的影响。</w:t>
      </w:r>
    </w:p>
    <w:p w14:paraId="2306465D" w14:textId="77777777" w:rsidR="00E85F48" w:rsidRDefault="00DE2CB8">
      <w:pPr>
        <w:widowControl/>
        <w:spacing w:line="360" w:lineRule="auto"/>
        <w:rPr>
          <w:rFonts w:eastAsia="楷体"/>
          <w:b/>
          <w:bCs/>
          <w:sz w:val="24"/>
          <w:szCs w:val="24"/>
        </w:rPr>
      </w:pPr>
      <w:r>
        <w:rPr>
          <w:rFonts w:eastAsia="楷体"/>
          <w:b/>
          <w:bCs/>
          <w:sz w:val="24"/>
          <w:szCs w:val="24"/>
        </w:rPr>
        <w:lastRenderedPageBreak/>
        <w:t>（</w:t>
      </w:r>
      <w:r>
        <w:rPr>
          <w:rFonts w:eastAsia="楷体"/>
          <w:b/>
          <w:bCs/>
          <w:sz w:val="24"/>
          <w:szCs w:val="24"/>
        </w:rPr>
        <w:t>3</w:t>
      </w:r>
      <w:r>
        <w:rPr>
          <w:rFonts w:eastAsia="楷体"/>
          <w:b/>
          <w:bCs/>
          <w:sz w:val="24"/>
          <w:szCs w:val="24"/>
        </w:rPr>
        <w:t>）具备科学的团队</w:t>
      </w:r>
      <w:r>
        <w:rPr>
          <w:rFonts w:eastAsia="楷体" w:hint="eastAsia"/>
          <w:b/>
          <w:bCs/>
          <w:sz w:val="24"/>
          <w:szCs w:val="24"/>
        </w:rPr>
        <w:t>结构可行性</w:t>
      </w:r>
    </w:p>
    <w:p w14:paraId="42C61E13" w14:textId="77777777" w:rsidR="00E85F48" w:rsidRDefault="00DE2CB8">
      <w:pPr>
        <w:widowControl/>
        <w:spacing w:line="440" w:lineRule="exact"/>
        <w:ind w:firstLineChars="200" w:firstLine="480"/>
        <w:rPr>
          <w:rFonts w:eastAsia="楷体"/>
          <w:sz w:val="24"/>
          <w:szCs w:val="24"/>
        </w:rPr>
      </w:pPr>
      <w:r>
        <w:rPr>
          <w:rFonts w:eastAsia="楷体"/>
          <w:sz w:val="24"/>
          <w:szCs w:val="24"/>
        </w:rPr>
        <w:t>研究团队涵盖基因组学、人工智能、生物信息学、作物育种等多学科专家，具备跨学科交叉研究和工程化实施能力。长期深耕于人工智能、作物种质创新与育种的理论研究与应用实践，积累了丰富经验（详见已有研究基础</w:t>
      </w:r>
      <w:r>
        <w:rPr>
          <w:rFonts w:eastAsia="楷体"/>
          <w:sz w:val="24"/>
          <w:szCs w:val="24"/>
        </w:rPr>
        <w:t>），特别是在深度学习、大数据分析、大模型应用、基因挖掘、分子机制解析以及种质和品种创新等方面成果丰硕。团队曾荣获四川省科技进步奖</w:t>
      </w:r>
      <w:r>
        <w:rPr>
          <w:rFonts w:eastAsia="楷体"/>
          <w:sz w:val="24"/>
          <w:szCs w:val="24"/>
        </w:rPr>
        <w:t>4</w:t>
      </w:r>
      <w:r>
        <w:rPr>
          <w:rFonts w:eastAsia="楷体"/>
          <w:sz w:val="24"/>
          <w:szCs w:val="24"/>
        </w:rPr>
        <w:t>项，并在</w:t>
      </w:r>
      <w:r>
        <w:rPr>
          <w:rFonts w:eastAsia="楷体"/>
          <w:sz w:val="24"/>
          <w:szCs w:val="24"/>
        </w:rPr>
        <w:t>Cell</w:t>
      </w:r>
      <w:r>
        <w:rPr>
          <w:rFonts w:eastAsia="楷体"/>
          <w:sz w:val="24"/>
          <w:szCs w:val="24"/>
        </w:rPr>
        <w:t>、</w:t>
      </w:r>
      <w:r>
        <w:rPr>
          <w:rFonts w:eastAsia="楷体"/>
          <w:sz w:val="24"/>
          <w:szCs w:val="24"/>
        </w:rPr>
        <w:t>Science</w:t>
      </w:r>
      <w:r>
        <w:rPr>
          <w:rFonts w:eastAsia="楷体"/>
          <w:sz w:val="24"/>
          <w:szCs w:val="24"/>
        </w:rPr>
        <w:t>、</w:t>
      </w:r>
      <w:r>
        <w:rPr>
          <w:rFonts w:eastAsia="楷体"/>
          <w:sz w:val="24"/>
          <w:szCs w:val="24"/>
        </w:rPr>
        <w:t>Science Advances</w:t>
      </w:r>
      <w:r>
        <w:rPr>
          <w:rFonts w:eastAsia="楷体"/>
          <w:sz w:val="24"/>
          <w:szCs w:val="24"/>
        </w:rPr>
        <w:t>、</w:t>
      </w:r>
      <w:r>
        <w:rPr>
          <w:rFonts w:eastAsia="楷体"/>
          <w:sz w:val="24"/>
          <w:szCs w:val="24"/>
        </w:rPr>
        <w:t>Nature Communications</w:t>
      </w:r>
      <w:r>
        <w:rPr>
          <w:rFonts w:eastAsia="楷体"/>
          <w:sz w:val="24"/>
          <w:szCs w:val="24"/>
        </w:rPr>
        <w:t>、</w:t>
      </w:r>
      <w:r>
        <w:rPr>
          <w:rFonts w:eastAsia="楷体"/>
          <w:sz w:val="24"/>
          <w:szCs w:val="24"/>
        </w:rPr>
        <w:t>Horticulture Research</w:t>
      </w:r>
      <w:r>
        <w:rPr>
          <w:rFonts w:eastAsia="楷体"/>
          <w:sz w:val="24"/>
          <w:szCs w:val="24"/>
        </w:rPr>
        <w:t>以及《中国农业科学》等国内外顶尖期刊上发表论文</w:t>
      </w:r>
      <w:r>
        <w:rPr>
          <w:rFonts w:eastAsia="楷体"/>
          <w:sz w:val="24"/>
          <w:szCs w:val="24"/>
        </w:rPr>
        <w:t>100</w:t>
      </w:r>
      <w:r>
        <w:rPr>
          <w:rFonts w:eastAsia="楷体"/>
          <w:sz w:val="24"/>
          <w:szCs w:val="24"/>
        </w:rPr>
        <w:t>余篇。</w:t>
      </w:r>
    </w:p>
    <w:permEnd w:id="1493318731"/>
    <w:p w14:paraId="457C92E6" w14:textId="77777777" w:rsidR="00E85F48" w:rsidRDefault="00DE2CB8">
      <w:pPr>
        <w:snapToGrid w:val="0"/>
        <w:spacing w:line="440" w:lineRule="exact"/>
        <w:ind w:firstLineChars="196" w:firstLine="549"/>
        <w:rPr>
          <w:rFonts w:ascii="楷体" w:eastAsia="楷体" w:hAnsi="楷体" w:cs="楷体_GB2312"/>
          <w:b/>
          <w:bCs/>
          <w:color w:val="0070C0"/>
          <w:sz w:val="28"/>
          <w:szCs w:val="28"/>
        </w:rPr>
      </w:pPr>
      <w:r>
        <w:rPr>
          <w:rFonts w:ascii="楷体" w:eastAsia="楷体" w:hAnsi="楷体"/>
          <w:color w:val="0070C0"/>
          <w:sz w:val="28"/>
          <w:szCs w:val="28"/>
        </w:rPr>
        <w:t>4</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本项目的特色与创新之处；</w:t>
      </w:r>
    </w:p>
    <w:p w14:paraId="571C4CC8" w14:textId="77777777" w:rsidR="00E85F48" w:rsidRDefault="00DE2CB8">
      <w:pPr>
        <w:snapToGrid w:val="0"/>
        <w:spacing w:beforeLines="50" w:before="156" w:line="440" w:lineRule="exact"/>
        <w:ind w:firstLineChars="200" w:firstLine="480"/>
        <w:rPr>
          <w:rFonts w:eastAsia="楷体"/>
          <w:sz w:val="24"/>
          <w:szCs w:val="24"/>
        </w:rPr>
      </w:pPr>
      <w:permStart w:id="332233709" w:edGrp="everyone"/>
      <w:r>
        <w:rPr>
          <w:rFonts w:eastAsia="楷体"/>
          <w:sz w:val="24"/>
          <w:szCs w:val="24"/>
        </w:rPr>
        <w:t>本项目的创新性在于融合人工智能与生物学方法，系统解析远端调控基因并探究其在新物种形成中的作用机制。依托人工智能技术，整合基因组、表观组、</w:t>
      </w:r>
      <w:proofErr w:type="gramStart"/>
      <w:r>
        <w:rPr>
          <w:rFonts w:eastAsia="楷体"/>
          <w:sz w:val="24"/>
          <w:szCs w:val="24"/>
        </w:rPr>
        <w:t>转录组</w:t>
      </w:r>
      <w:proofErr w:type="gramEnd"/>
      <w:r>
        <w:rPr>
          <w:rFonts w:eastAsia="楷体"/>
          <w:sz w:val="24"/>
          <w:szCs w:val="24"/>
        </w:rPr>
        <w:t>等多组学数据，构建远端调控元件的智能识别与预测模型，从大规模基因组变异数据中精准挖掘远端调控基因，并解析其调控网络。在此基础上，结合生物学实验验证（</w:t>
      </w:r>
      <w:r>
        <w:rPr>
          <w:rFonts w:eastAsia="楷体"/>
          <w:sz w:val="24"/>
          <w:szCs w:val="24"/>
        </w:rPr>
        <w:t>CRISPR/Cas9</w:t>
      </w:r>
      <w:r>
        <w:rPr>
          <w:rFonts w:eastAsia="楷体"/>
          <w:sz w:val="24"/>
          <w:szCs w:val="24"/>
        </w:rPr>
        <w:t>基因编辑、</w:t>
      </w:r>
      <w:proofErr w:type="spellStart"/>
      <w:r>
        <w:rPr>
          <w:rFonts w:eastAsia="楷体"/>
          <w:sz w:val="24"/>
          <w:szCs w:val="24"/>
        </w:rPr>
        <w:t>ChIP</w:t>
      </w:r>
      <w:proofErr w:type="spellEnd"/>
      <w:r>
        <w:rPr>
          <w:rFonts w:eastAsia="楷体"/>
          <w:sz w:val="24"/>
          <w:szCs w:val="24"/>
        </w:rPr>
        <w:t>-seq</w:t>
      </w:r>
      <w:r>
        <w:rPr>
          <w:rFonts w:eastAsia="楷体"/>
          <w:sz w:val="24"/>
          <w:szCs w:val="24"/>
        </w:rPr>
        <w:t>等），系统解析关键远端调控元件对目标基因表达及牧草性状形成的影响。进一步地，通过系统进化分析与基因组编辑技术，探讨远端调控元件在牧草适应性进化与新物种形成中的作用，并筛选具有</w:t>
      </w:r>
      <w:r>
        <w:rPr>
          <w:rFonts w:eastAsia="楷体"/>
          <w:sz w:val="24"/>
          <w:szCs w:val="24"/>
        </w:rPr>
        <w:t>优良性状的新型牧草种质资源，为精准育种提供科学依据。本研究突破了传统遗传研究在远端调控解析方面的局限，构建了从人工智能驱动的基因组解析到新物种发现的跨学科研究体系，为牧草遗传改良和新品种培育提供新的理论支撑和技术路径。</w:t>
      </w:r>
    </w:p>
    <w:permEnd w:id="332233709"/>
    <w:p w14:paraId="73BA7C94" w14:textId="77777777" w:rsidR="00E85F48" w:rsidRDefault="00DE2CB8">
      <w:pPr>
        <w:snapToGrid w:val="0"/>
        <w:spacing w:line="440" w:lineRule="exact"/>
        <w:ind w:firstLineChars="198" w:firstLine="554"/>
        <w:rPr>
          <w:rFonts w:ascii="楷体" w:eastAsia="楷体" w:hAnsi="楷体" w:cs="楷体_GB2312"/>
          <w:color w:val="0070C0"/>
          <w:sz w:val="28"/>
          <w:szCs w:val="28"/>
        </w:rPr>
      </w:pPr>
      <w:r>
        <w:rPr>
          <w:rFonts w:ascii="楷体" w:eastAsia="楷体" w:hAnsi="楷体"/>
          <w:color w:val="0070C0"/>
          <w:sz w:val="28"/>
          <w:szCs w:val="28"/>
        </w:rPr>
        <w:t>5</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年度研究计划及预期研究结果</w:t>
      </w:r>
      <w:r>
        <w:rPr>
          <w:rFonts w:ascii="楷体" w:eastAsia="楷体" w:hAnsi="楷体" w:cs="楷体_GB2312" w:hint="eastAsia"/>
          <w:color w:val="0070C0"/>
          <w:sz w:val="28"/>
          <w:szCs w:val="28"/>
        </w:rPr>
        <w:t>（包括拟组织的重要学术交流活动、国际合作与交流计划等）。</w:t>
      </w:r>
    </w:p>
    <w:p w14:paraId="544A377F" w14:textId="77777777" w:rsidR="00E85F48" w:rsidRDefault="00DE2CB8">
      <w:pPr>
        <w:snapToGrid w:val="0"/>
        <w:spacing w:line="440" w:lineRule="exact"/>
        <w:rPr>
          <w:rFonts w:eastAsia="楷体" w:cs="楷体"/>
          <w:b/>
          <w:sz w:val="24"/>
          <w:szCs w:val="24"/>
        </w:rPr>
      </w:pPr>
      <w:permStart w:id="456415431" w:edGrp="everyone"/>
      <w:r>
        <w:rPr>
          <w:rFonts w:eastAsia="楷体" w:cs="楷体"/>
          <w:b/>
          <w:sz w:val="24"/>
          <w:szCs w:val="24"/>
        </w:rPr>
        <w:t xml:space="preserve">5.1 </w:t>
      </w:r>
      <w:r>
        <w:rPr>
          <w:rFonts w:eastAsia="楷体" w:cs="楷体"/>
          <w:b/>
          <w:sz w:val="24"/>
          <w:szCs w:val="24"/>
        </w:rPr>
        <w:t>研究计划</w:t>
      </w:r>
      <w:r>
        <w:rPr>
          <w:rFonts w:eastAsia="楷体" w:cs="楷体"/>
          <w:b/>
          <w:sz w:val="24"/>
          <w:szCs w:val="24"/>
        </w:rPr>
        <w:t xml:space="preserve">  </w:t>
      </w:r>
    </w:p>
    <w:p w14:paraId="3E3FD52F" w14:textId="77777777" w:rsidR="00E85F48" w:rsidRDefault="00DE2CB8">
      <w:pPr>
        <w:snapToGrid w:val="0"/>
        <w:spacing w:line="440" w:lineRule="exact"/>
        <w:rPr>
          <w:rFonts w:eastAsia="楷体"/>
          <w:b/>
          <w:bCs/>
          <w:sz w:val="24"/>
          <w:szCs w:val="24"/>
        </w:rPr>
      </w:pPr>
      <w:r>
        <w:rPr>
          <w:rFonts w:eastAsia="楷体" w:hint="eastAsia"/>
          <w:b/>
          <w:bCs/>
          <w:sz w:val="24"/>
          <w:szCs w:val="24"/>
        </w:rPr>
        <w:t>第一年度（</w:t>
      </w:r>
      <w:r>
        <w:rPr>
          <w:rFonts w:eastAsia="楷体"/>
          <w:b/>
          <w:bCs/>
          <w:sz w:val="24"/>
          <w:szCs w:val="24"/>
        </w:rPr>
        <w:t>2026</w:t>
      </w:r>
      <w:r>
        <w:rPr>
          <w:rFonts w:eastAsia="楷体"/>
          <w:b/>
          <w:bCs/>
          <w:sz w:val="24"/>
          <w:szCs w:val="24"/>
        </w:rPr>
        <w:t>年</w:t>
      </w:r>
      <w:r>
        <w:rPr>
          <w:rFonts w:eastAsia="楷体"/>
          <w:b/>
          <w:bCs/>
          <w:sz w:val="24"/>
          <w:szCs w:val="24"/>
        </w:rPr>
        <w:t>1</w:t>
      </w:r>
      <w:r>
        <w:rPr>
          <w:rFonts w:eastAsia="楷体"/>
          <w:b/>
          <w:bCs/>
          <w:sz w:val="24"/>
          <w:szCs w:val="24"/>
        </w:rPr>
        <w:t>月</w:t>
      </w:r>
      <w:r>
        <w:rPr>
          <w:rFonts w:eastAsia="楷体"/>
          <w:b/>
          <w:bCs/>
          <w:sz w:val="24"/>
          <w:szCs w:val="24"/>
        </w:rPr>
        <w:t>—2026</w:t>
      </w:r>
      <w:r>
        <w:rPr>
          <w:rFonts w:eastAsia="楷体"/>
          <w:b/>
          <w:bCs/>
          <w:sz w:val="24"/>
          <w:szCs w:val="24"/>
        </w:rPr>
        <w:t>年</w:t>
      </w:r>
      <w:r>
        <w:rPr>
          <w:rFonts w:eastAsia="楷体"/>
          <w:b/>
          <w:bCs/>
          <w:sz w:val="24"/>
          <w:szCs w:val="24"/>
        </w:rPr>
        <w:t>12</w:t>
      </w:r>
      <w:r>
        <w:rPr>
          <w:rFonts w:eastAsia="楷体"/>
          <w:b/>
          <w:bCs/>
          <w:sz w:val="24"/>
          <w:szCs w:val="24"/>
        </w:rPr>
        <w:t>月</w:t>
      </w:r>
      <w:r>
        <w:rPr>
          <w:rFonts w:eastAsia="楷体" w:hint="eastAsia"/>
          <w:b/>
          <w:bCs/>
          <w:sz w:val="24"/>
          <w:szCs w:val="24"/>
        </w:rPr>
        <w:t>）</w:t>
      </w:r>
    </w:p>
    <w:p w14:paraId="31E241F1"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1</w:t>
      </w:r>
      <w:r>
        <w:rPr>
          <w:rFonts w:eastAsia="楷体"/>
          <w:sz w:val="24"/>
          <w:szCs w:val="24"/>
        </w:rPr>
        <w:t>）构建牧草全基因组高质量变异数据库，整合</w:t>
      </w:r>
      <w:r>
        <w:rPr>
          <w:rFonts w:eastAsia="楷体"/>
          <w:sz w:val="24"/>
          <w:szCs w:val="24"/>
        </w:rPr>
        <w:t>SNP</w:t>
      </w:r>
      <w:r>
        <w:rPr>
          <w:rFonts w:eastAsia="楷体"/>
          <w:sz w:val="24"/>
          <w:szCs w:val="24"/>
        </w:rPr>
        <w:t>、</w:t>
      </w:r>
      <w:r>
        <w:rPr>
          <w:rFonts w:eastAsia="楷体"/>
          <w:sz w:val="24"/>
          <w:szCs w:val="24"/>
        </w:rPr>
        <w:t>SV</w:t>
      </w:r>
      <w:r>
        <w:rPr>
          <w:rFonts w:eastAsia="楷体"/>
          <w:sz w:val="24"/>
          <w:szCs w:val="24"/>
        </w:rPr>
        <w:t>、</w:t>
      </w:r>
      <w:r>
        <w:rPr>
          <w:rFonts w:eastAsia="楷体"/>
          <w:sz w:val="24"/>
          <w:szCs w:val="24"/>
        </w:rPr>
        <w:t>CNV</w:t>
      </w:r>
      <w:r>
        <w:rPr>
          <w:rFonts w:eastAsia="楷体"/>
          <w:sz w:val="24"/>
          <w:szCs w:val="24"/>
        </w:rPr>
        <w:t>等多类型遗传变异信息，</w:t>
      </w:r>
      <w:r>
        <w:rPr>
          <w:rFonts w:eastAsia="楷体" w:hint="eastAsia"/>
          <w:sz w:val="24"/>
          <w:szCs w:val="24"/>
        </w:rPr>
        <w:t>处理基因缺失值，误差值，对已有数据进行清洗。</w:t>
      </w:r>
      <w:r>
        <w:rPr>
          <w:rFonts w:eastAsia="楷体"/>
          <w:sz w:val="24"/>
          <w:szCs w:val="24"/>
        </w:rPr>
        <w:t>解析远</w:t>
      </w:r>
      <w:r>
        <w:rPr>
          <w:rFonts w:eastAsia="楷体"/>
          <w:sz w:val="24"/>
          <w:szCs w:val="24"/>
        </w:rPr>
        <w:t>端调控元件的分布特征及其潜在功能。</w:t>
      </w:r>
      <w:r>
        <w:rPr>
          <w:rFonts w:eastAsia="楷体"/>
          <w:sz w:val="24"/>
          <w:szCs w:val="24"/>
        </w:rPr>
        <w:t xml:space="preserve"> </w:t>
      </w:r>
    </w:p>
    <w:p w14:paraId="50089A89"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2</w:t>
      </w:r>
      <w:r>
        <w:rPr>
          <w:rFonts w:eastAsia="楷体"/>
          <w:sz w:val="24"/>
          <w:szCs w:val="24"/>
        </w:rPr>
        <w:t>）开发人工智能驱动的远端调控基因预测框架，利用</w:t>
      </w:r>
      <w:r>
        <w:rPr>
          <w:rFonts w:eastAsia="楷体"/>
          <w:sz w:val="24"/>
          <w:szCs w:val="24"/>
        </w:rPr>
        <w:t>Transformer</w:t>
      </w:r>
      <w:r>
        <w:rPr>
          <w:rFonts w:eastAsia="楷体"/>
          <w:sz w:val="24"/>
          <w:szCs w:val="24"/>
        </w:rPr>
        <w:t>和图神经网络（</w:t>
      </w:r>
      <w:r>
        <w:rPr>
          <w:rFonts w:eastAsia="楷体"/>
          <w:sz w:val="24"/>
          <w:szCs w:val="24"/>
        </w:rPr>
        <w:t>GNN</w:t>
      </w:r>
      <w:r>
        <w:rPr>
          <w:rFonts w:eastAsia="楷体"/>
          <w:sz w:val="24"/>
          <w:szCs w:val="24"/>
        </w:rPr>
        <w:t>）模型，实现远端</w:t>
      </w:r>
      <w:r>
        <w:rPr>
          <w:rFonts w:eastAsia="楷体"/>
          <w:sz w:val="24"/>
          <w:szCs w:val="24"/>
        </w:rPr>
        <w:t>SNP/SV</w:t>
      </w:r>
      <w:r>
        <w:rPr>
          <w:rFonts w:eastAsia="楷体"/>
          <w:sz w:val="24"/>
          <w:szCs w:val="24"/>
        </w:rPr>
        <w:t>对基因表达的调控作用预测。</w:t>
      </w:r>
      <w:r>
        <w:rPr>
          <w:rFonts w:eastAsia="楷体"/>
          <w:sz w:val="24"/>
          <w:szCs w:val="24"/>
        </w:rPr>
        <w:t xml:space="preserve"> </w:t>
      </w:r>
    </w:p>
    <w:p w14:paraId="751D4764"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3</w:t>
      </w:r>
      <w:r>
        <w:rPr>
          <w:rFonts w:eastAsia="楷体"/>
          <w:sz w:val="24"/>
          <w:szCs w:val="24"/>
        </w:rPr>
        <w:t>）完成关键远端调控元件与目标性状的初步关联分析，筛选潜在重要调控位点，为后续功能验证提供候选目标。</w:t>
      </w:r>
      <w:r>
        <w:rPr>
          <w:rFonts w:eastAsia="楷体"/>
          <w:sz w:val="24"/>
          <w:szCs w:val="24"/>
        </w:rPr>
        <w:t xml:space="preserve"> </w:t>
      </w:r>
    </w:p>
    <w:p w14:paraId="7F48CE6C"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4</w:t>
      </w:r>
      <w:r>
        <w:rPr>
          <w:rFonts w:eastAsia="楷体"/>
          <w:sz w:val="24"/>
          <w:szCs w:val="24"/>
        </w:rPr>
        <w:t>）拟发表高水平研究论文</w:t>
      </w:r>
      <w:r>
        <w:rPr>
          <w:rFonts w:eastAsia="楷体"/>
          <w:sz w:val="24"/>
          <w:szCs w:val="24"/>
        </w:rPr>
        <w:t>1</w:t>
      </w:r>
      <w:r>
        <w:rPr>
          <w:rFonts w:eastAsia="楷体"/>
          <w:sz w:val="24"/>
          <w:szCs w:val="24"/>
        </w:rPr>
        <w:t>篇，申请发明专利</w:t>
      </w:r>
      <w:r>
        <w:rPr>
          <w:rFonts w:eastAsia="楷体"/>
          <w:sz w:val="24"/>
          <w:szCs w:val="24"/>
        </w:rPr>
        <w:t>1-2</w:t>
      </w:r>
      <w:r>
        <w:rPr>
          <w:rFonts w:eastAsia="楷体"/>
          <w:sz w:val="24"/>
          <w:szCs w:val="24"/>
        </w:rPr>
        <w:t>项。</w:t>
      </w:r>
    </w:p>
    <w:p w14:paraId="2723F242" w14:textId="77777777" w:rsidR="00E85F48" w:rsidRDefault="00DE2CB8">
      <w:pPr>
        <w:snapToGrid w:val="0"/>
        <w:spacing w:line="440" w:lineRule="exact"/>
        <w:rPr>
          <w:rFonts w:eastAsia="楷体"/>
          <w:b/>
          <w:bCs/>
          <w:sz w:val="24"/>
          <w:szCs w:val="24"/>
        </w:rPr>
      </w:pPr>
      <w:r>
        <w:rPr>
          <w:rFonts w:eastAsia="楷体" w:hint="eastAsia"/>
          <w:b/>
          <w:bCs/>
          <w:sz w:val="24"/>
          <w:szCs w:val="24"/>
        </w:rPr>
        <w:lastRenderedPageBreak/>
        <w:t>第二年度（</w:t>
      </w:r>
      <w:r>
        <w:rPr>
          <w:rFonts w:eastAsia="楷体" w:hint="eastAsia"/>
          <w:b/>
          <w:bCs/>
          <w:sz w:val="24"/>
          <w:szCs w:val="24"/>
        </w:rPr>
        <w:t>2027</w:t>
      </w:r>
      <w:r>
        <w:rPr>
          <w:rFonts w:eastAsia="楷体" w:hint="eastAsia"/>
          <w:b/>
          <w:bCs/>
          <w:sz w:val="24"/>
          <w:szCs w:val="24"/>
        </w:rPr>
        <w:t>年</w:t>
      </w:r>
      <w:r>
        <w:rPr>
          <w:rFonts w:eastAsia="楷体" w:hint="eastAsia"/>
          <w:b/>
          <w:bCs/>
          <w:sz w:val="24"/>
          <w:szCs w:val="24"/>
        </w:rPr>
        <w:t>1</w:t>
      </w:r>
      <w:r>
        <w:rPr>
          <w:rFonts w:eastAsia="楷体" w:hint="eastAsia"/>
          <w:b/>
          <w:bCs/>
          <w:sz w:val="24"/>
          <w:szCs w:val="24"/>
        </w:rPr>
        <w:t>月—</w:t>
      </w:r>
      <w:r>
        <w:rPr>
          <w:rFonts w:eastAsia="楷体" w:hint="eastAsia"/>
          <w:b/>
          <w:bCs/>
          <w:sz w:val="24"/>
          <w:szCs w:val="24"/>
        </w:rPr>
        <w:t>2027</w:t>
      </w:r>
      <w:r>
        <w:rPr>
          <w:rFonts w:eastAsia="楷体" w:hint="eastAsia"/>
          <w:b/>
          <w:bCs/>
          <w:sz w:val="24"/>
          <w:szCs w:val="24"/>
        </w:rPr>
        <w:t>年</w:t>
      </w:r>
      <w:r>
        <w:rPr>
          <w:rFonts w:eastAsia="楷体" w:hint="eastAsia"/>
          <w:b/>
          <w:bCs/>
          <w:sz w:val="24"/>
          <w:szCs w:val="24"/>
        </w:rPr>
        <w:t>12</w:t>
      </w:r>
      <w:r>
        <w:rPr>
          <w:rFonts w:eastAsia="楷体" w:hint="eastAsia"/>
          <w:b/>
          <w:bCs/>
          <w:sz w:val="24"/>
          <w:szCs w:val="24"/>
        </w:rPr>
        <w:t>月）</w:t>
      </w:r>
    </w:p>
    <w:p w14:paraId="29118C8B"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1</w:t>
      </w:r>
      <w:r>
        <w:rPr>
          <w:rFonts w:eastAsia="楷体"/>
          <w:sz w:val="24"/>
          <w:szCs w:val="24"/>
        </w:rPr>
        <w:t>）基于</w:t>
      </w:r>
      <w:r>
        <w:rPr>
          <w:rFonts w:eastAsia="楷体"/>
          <w:sz w:val="24"/>
          <w:szCs w:val="24"/>
        </w:rPr>
        <w:t>Hi-C</w:t>
      </w:r>
      <w:r>
        <w:rPr>
          <w:rFonts w:eastAsia="楷体"/>
          <w:sz w:val="24"/>
          <w:szCs w:val="24"/>
        </w:rPr>
        <w:t>、</w:t>
      </w:r>
      <w:proofErr w:type="spellStart"/>
      <w:r>
        <w:rPr>
          <w:rFonts w:eastAsia="楷体"/>
          <w:sz w:val="24"/>
          <w:szCs w:val="24"/>
        </w:rPr>
        <w:t>ChIP</w:t>
      </w:r>
      <w:proofErr w:type="spellEnd"/>
      <w:r>
        <w:rPr>
          <w:rFonts w:eastAsia="楷体"/>
          <w:sz w:val="24"/>
          <w:szCs w:val="24"/>
        </w:rPr>
        <w:t>-seq</w:t>
      </w:r>
      <w:r>
        <w:rPr>
          <w:rFonts w:eastAsia="楷体"/>
          <w:sz w:val="24"/>
          <w:szCs w:val="24"/>
        </w:rPr>
        <w:t>、</w:t>
      </w:r>
      <w:r>
        <w:rPr>
          <w:rFonts w:eastAsia="楷体"/>
          <w:sz w:val="24"/>
          <w:szCs w:val="24"/>
        </w:rPr>
        <w:t>ATAC-seq</w:t>
      </w:r>
      <w:r>
        <w:rPr>
          <w:rFonts w:eastAsia="楷体"/>
          <w:sz w:val="24"/>
          <w:szCs w:val="24"/>
        </w:rPr>
        <w:t>等技术，解析染色质三维结构，明确远端调控元件的空间构象特征，并结合人工智能模型优化调控元件预测精度。</w:t>
      </w:r>
      <w:r>
        <w:rPr>
          <w:rFonts w:eastAsia="楷体"/>
          <w:sz w:val="24"/>
          <w:szCs w:val="24"/>
        </w:rPr>
        <w:t xml:space="preserve">  </w:t>
      </w:r>
    </w:p>
    <w:p w14:paraId="21497DAD"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2</w:t>
      </w:r>
      <w:r>
        <w:rPr>
          <w:rFonts w:eastAsia="楷体"/>
          <w:sz w:val="24"/>
          <w:szCs w:val="24"/>
        </w:rPr>
        <w:t>）利用</w:t>
      </w:r>
      <w:r>
        <w:rPr>
          <w:rFonts w:eastAsia="楷体"/>
          <w:sz w:val="24"/>
          <w:szCs w:val="24"/>
        </w:rPr>
        <w:t>CRISPR/Cas9</w:t>
      </w:r>
      <w:r>
        <w:rPr>
          <w:rFonts w:eastAsia="楷体"/>
          <w:sz w:val="24"/>
          <w:szCs w:val="24"/>
        </w:rPr>
        <w:t>基因编辑技术，构建靶向编辑牧草材料，验证关键远端调控元件对目标基因表达及性状形成的影响。</w:t>
      </w:r>
    </w:p>
    <w:p w14:paraId="1B670CC6"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3</w:t>
      </w:r>
      <w:r>
        <w:rPr>
          <w:rFonts w:eastAsia="楷体"/>
          <w:sz w:val="24"/>
          <w:szCs w:val="24"/>
        </w:rPr>
        <w:t>）开发远端调控基因的智能筛选算法，结合多组学数据，优化育种候选基因库，为精准育种策略提供理论依据。</w:t>
      </w:r>
    </w:p>
    <w:p w14:paraId="5B61C0E0"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4</w:t>
      </w:r>
      <w:r>
        <w:rPr>
          <w:rFonts w:eastAsia="楷体"/>
          <w:sz w:val="24"/>
          <w:szCs w:val="24"/>
        </w:rPr>
        <w:t>）拟发表</w:t>
      </w:r>
      <w:r>
        <w:rPr>
          <w:rFonts w:eastAsia="楷体"/>
          <w:sz w:val="24"/>
          <w:szCs w:val="24"/>
        </w:rPr>
        <w:t>1-2</w:t>
      </w:r>
      <w:r>
        <w:rPr>
          <w:rFonts w:eastAsia="楷体"/>
          <w:sz w:val="24"/>
          <w:szCs w:val="24"/>
        </w:rPr>
        <w:t>篇高水平研究论文，申请发明专利</w:t>
      </w:r>
      <w:r>
        <w:rPr>
          <w:rFonts w:eastAsia="楷体"/>
          <w:sz w:val="24"/>
          <w:szCs w:val="24"/>
        </w:rPr>
        <w:t>1-2</w:t>
      </w:r>
      <w:r>
        <w:rPr>
          <w:rFonts w:eastAsia="楷体"/>
          <w:sz w:val="24"/>
          <w:szCs w:val="24"/>
        </w:rPr>
        <w:t>项。</w:t>
      </w:r>
      <w:r>
        <w:rPr>
          <w:rFonts w:eastAsia="楷体"/>
          <w:sz w:val="24"/>
          <w:szCs w:val="24"/>
        </w:rPr>
        <w:t xml:space="preserve">  </w:t>
      </w:r>
    </w:p>
    <w:p w14:paraId="50312D03" w14:textId="77777777" w:rsidR="00E85F48" w:rsidRDefault="00DE2CB8">
      <w:pPr>
        <w:snapToGrid w:val="0"/>
        <w:spacing w:line="440" w:lineRule="exact"/>
        <w:rPr>
          <w:rFonts w:eastAsia="楷体"/>
          <w:b/>
          <w:bCs/>
          <w:sz w:val="24"/>
          <w:szCs w:val="24"/>
        </w:rPr>
      </w:pPr>
      <w:r>
        <w:rPr>
          <w:rFonts w:eastAsia="楷体" w:hint="eastAsia"/>
          <w:b/>
          <w:bCs/>
          <w:sz w:val="24"/>
          <w:szCs w:val="24"/>
        </w:rPr>
        <w:t>第三年度（</w:t>
      </w:r>
      <w:r>
        <w:rPr>
          <w:rFonts w:eastAsia="楷体" w:hint="eastAsia"/>
          <w:b/>
          <w:bCs/>
          <w:sz w:val="24"/>
          <w:szCs w:val="24"/>
        </w:rPr>
        <w:t>2028</w:t>
      </w:r>
      <w:r>
        <w:rPr>
          <w:rFonts w:eastAsia="楷体" w:hint="eastAsia"/>
          <w:b/>
          <w:bCs/>
          <w:sz w:val="24"/>
          <w:szCs w:val="24"/>
        </w:rPr>
        <w:t>年</w:t>
      </w:r>
      <w:r>
        <w:rPr>
          <w:rFonts w:eastAsia="楷体" w:hint="eastAsia"/>
          <w:b/>
          <w:bCs/>
          <w:sz w:val="24"/>
          <w:szCs w:val="24"/>
        </w:rPr>
        <w:t>1</w:t>
      </w:r>
      <w:r>
        <w:rPr>
          <w:rFonts w:eastAsia="楷体" w:hint="eastAsia"/>
          <w:b/>
          <w:bCs/>
          <w:sz w:val="24"/>
          <w:szCs w:val="24"/>
        </w:rPr>
        <w:t>月—</w:t>
      </w:r>
      <w:r>
        <w:rPr>
          <w:rFonts w:eastAsia="楷体" w:hint="eastAsia"/>
          <w:b/>
          <w:bCs/>
          <w:sz w:val="24"/>
          <w:szCs w:val="24"/>
        </w:rPr>
        <w:t>2028</w:t>
      </w:r>
      <w:r>
        <w:rPr>
          <w:rFonts w:eastAsia="楷体" w:hint="eastAsia"/>
          <w:b/>
          <w:bCs/>
          <w:sz w:val="24"/>
          <w:szCs w:val="24"/>
        </w:rPr>
        <w:t>年</w:t>
      </w:r>
      <w:r>
        <w:rPr>
          <w:rFonts w:eastAsia="楷体" w:hint="eastAsia"/>
          <w:b/>
          <w:bCs/>
          <w:sz w:val="24"/>
          <w:szCs w:val="24"/>
        </w:rPr>
        <w:t>12</w:t>
      </w:r>
      <w:r>
        <w:rPr>
          <w:rFonts w:eastAsia="楷体" w:hint="eastAsia"/>
          <w:b/>
          <w:bCs/>
          <w:sz w:val="24"/>
          <w:szCs w:val="24"/>
        </w:rPr>
        <w:t>月）</w:t>
      </w:r>
    </w:p>
    <w:p w14:paraId="0998AB8D"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1</w:t>
      </w:r>
      <w:r>
        <w:rPr>
          <w:rFonts w:eastAsia="楷体"/>
          <w:sz w:val="24"/>
          <w:szCs w:val="24"/>
        </w:rPr>
        <w:t>）开展</w:t>
      </w:r>
      <w:proofErr w:type="gramStart"/>
      <w:r>
        <w:rPr>
          <w:rFonts w:eastAsia="楷体"/>
          <w:sz w:val="24"/>
          <w:szCs w:val="24"/>
        </w:rPr>
        <w:t>跨品种</w:t>
      </w:r>
      <w:proofErr w:type="gramEnd"/>
      <w:r>
        <w:rPr>
          <w:rFonts w:eastAsia="楷体"/>
          <w:sz w:val="24"/>
          <w:szCs w:val="24"/>
        </w:rPr>
        <w:t>远端调控机制验证，构建不同生态区牧草远端调控基因网络，解析远端调控元件的物种特异性及保守性特征。</w:t>
      </w:r>
    </w:p>
    <w:p w14:paraId="40FA036F"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2</w:t>
      </w:r>
      <w:r>
        <w:rPr>
          <w:rFonts w:eastAsia="楷体"/>
          <w:sz w:val="24"/>
          <w:szCs w:val="24"/>
        </w:rPr>
        <w:t>）开发基于多组学和机器学习的牧草性状预测模型，优化远端调控育种策略，提升对目标性状的精准调控能力。</w:t>
      </w:r>
      <w:r>
        <w:rPr>
          <w:rFonts w:eastAsia="楷体"/>
          <w:sz w:val="24"/>
          <w:szCs w:val="24"/>
        </w:rPr>
        <w:t xml:space="preserve">  </w:t>
      </w:r>
    </w:p>
    <w:p w14:paraId="5262908A"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3</w:t>
      </w:r>
      <w:r>
        <w:rPr>
          <w:rFonts w:eastAsia="楷体"/>
          <w:sz w:val="24"/>
          <w:szCs w:val="24"/>
        </w:rPr>
        <w:t>）在温带草原、高寒草甸等多种生态环境中开展田间试验，评估远端调控元件</w:t>
      </w:r>
      <w:proofErr w:type="gramStart"/>
      <w:r>
        <w:rPr>
          <w:rFonts w:eastAsia="楷体"/>
          <w:sz w:val="24"/>
          <w:szCs w:val="24"/>
        </w:rPr>
        <w:t>介</w:t>
      </w:r>
      <w:proofErr w:type="gramEnd"/>
      <w:r>
        <w:rPr>
          <w:rFonts w:eastAsia="楷体"/>
          <w:sz w:val="24"/>
          <w:szCs w:val="24"/>
        </w:rPr>
        <w:t>导的牧草改良材料的生长、抗逆性和品质表现。</w:t>
      </w:r>
      <w:r>
        <w:rPr>
          <w:rFonts w:eastAsia="楷体"/>
          <w:sz w:val="24"/>
          <w:szCs w:val="24"/>
        </w:rPr>
        <w:t xml:space="preserve">  </w:t>
      </w:r>
    </w:p>
    <w:p w14:paraId="2A4FE875"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4</w:t>
      </w:r>
      <w:r>
        <w:rPr>
          <w:rFonts w:eastAsia="楷体"/>
          <w:sz w:val="24"/>
          <w:szCs w:val="24"/>
        </w:rPr>
        <w:t>）拟发表高水平研究论文</w:t>
      </w:r>
      <w:r>
        <w:rPr>
          <w:rFonts w:eastAsia="楷体"/>
          <w:sz w:val="24"/>
          <w:szCs w:val="24"/>
        </w:rPr>
        <w:t>1-2</w:t>
      </w:r>
      <w:r>
        <w:rPr>
          <w:rFonts w:eastAsia="楷体"/>
          <w:sz w:val="24"/>
          <w:szCs w:val="24"/>
        </w:rPr>
        <w:t>篇，参加国内外学术会议</w:t>
      </w:r>
      <w:r>
        <w:rPr>
          <w:rFonts w:eastAsia="楷体"/>
          <w:sz w:val="24"/>
          <w:szCs w:val="24"/>
        </w:rPr>
        <w:t>1-2</w:t>
      </w:r>
      <w:r>
        <w:rPr>
          <w:rFonts w:eastAsia="楷体"/>
          <w:sz w:val="24"/>
          <w:szCs w:val="24"/>
        </w:rPr>
        <w:t>次。</w:t>
      </w:r>
      <w:r>
        <w:rPr>
          <w:rFonts w:eastAsia="楷体"/>
          <w:sz w:val="24"/>
          <w:szCs w:val="24"/>
        </w:rPr>
        <w:t xml:space="preserve">  </w:t>
      </w:r>
    </w:p>
    <w:p w14:paraId="5695A0AD" w14:textId="77777777" w:rsidR="00E85F48" w:rsidRDefault="00DE2CB8">
      <w:pPr>
        <w:snapToGrid w:val="0"/>
        <w:spacing w:line="440" w:lineRule="exact"/>
        <w:rPr>
          <w:rFonts w:eastAsia="楷体"/>
          <w:b/>
          <w:bCs/>
          <w:sz w:val="24"/>
          <w:szCs w:val="24"/>
        </w:rPr>
      </w:pPr>
      <w:r>
        <w:rPr>
          <w:rFonts w:eastAsia="楷体" w:hint="eastAsia"/>
          <w:b/>
          <w:bCs/>
          <w:sz w:val="24"/>
          <w:szCs w:val="24"/>
        </w:rPr>
        <w:t>第四年度（</w:t>
      </w:r>
      <w:r>
        <w:rPr>
          <w:rFonts w:eastAsia="楷体" w:hint="eastAsia"/>
          <w:b/>
          <w:bCs/>
          <w:sz w:val="24"/>
          <w:szCs w:val="24"/>
        </w:rPr>
        <w:t>2029</w:t>
      </w:r>
      <w:r>
        <w:rPr>
          <w:rFonts w:eastAsia="楷体" w:hint="eastAsia"/>
          <w:b/>
          <w:bCs/>
          <w:sz w:val="24"/>
          <w:szCs w:val="24"/>
        </w:rPr>
        <w:t>年</w:t>
      </w:r>
      <w:r>
        <w:rPr>
          <w:rFonts w:eastAsia="楷体" w:hint="eastAsia"/>
          <w:b/>
          <w:bCs/>
          <w:sz w:val="24"/>
          <w:szCs w:val="24"/>
        </w:rPr>
        <w:t>1</w:t>
      </w:r>
      <w:r>
        <w:rPr>
          <w:rFonts w:eastAsia="楷体" w:hint="eastAsia"/>
          <w:b/>
          <w:bCs/>
          <w:sz w:val="24"/>
          <w:szCs w:val="24"/>
        </w:rPr>
        <w:t>月—</w:t>
      </w:r>
      <w:r>
        <w:rPr>
          <w:rFonts w:eastAsia="楷体" w:hint="eastAsia"/>
          <w:b/>
          <w:bCs/>
          <w:sz w:val="24"/>
          <w:szCs w:val="24"/>
        </w:rPr>
        <w:t>2029</w:t>
      </w:r>
      <w:r>
        <w:rPr>
          <w:rFonts w:eastAsia="楷体" w:hint="eastAsia"/>
          <w:b/>
          <w:bCs/>
          <w:sz w:val="24"/>
          <w:szCs w:val="24"/>
        </w:rPr>
        <w:t>年</w:t>
      </w:r>
      <w:r>
        <w:rPr>
          <w:rFonts w:eastAsia="楷体" w:hint="eastAsia"/>
          <w:b/>
          <w:bCs/>
          <w:sz w:val="24"/>
          <w:szCs w:val="24"/>
        </w:rPr>
        <w:t>12</w:t>
      </w:r>
      <w:r>
        <w:rPr>
          <w:rFonts w:eastAsia="楷体" w:hint="eastAsia"/>
          <w:b/>
          <w:bCs/>
          <w:sz w:val="24"/>
          <w:szCs w:val="24"/>
        </w:rPr>
        <w:t>月）</w:t>
      </w:r>
    </w:p>
    <w:p w14:paraId="4541F453"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1</w:t>
      </w:r>
      <w:r>
        <w:rPr>
          <w:rFonts w:eastAsia="楷体"/>
          <w:sz w:val="24"/>
          <w:szCs w:val="24"/>
        </w:rPr>
        <w:t>）构建</w:t>
      </w:r>
      <w:r>
        <w:rPr>
          <w:rFonts w:eastAsia="楷体" w:hint="eastAsia"/>
          <w:sz w:val="24"/>
          <w:szCs w:val="24"/>
        </w:rPr>
        <w:t>“</w:t>
      </w:r>
      <w:r>
        <w:rPr>
          <w:rFonts w:eastAsia="楷体"/>
          <w:sz w:val="24"/>
          <w:szCs w:val="24"/>
        </w:rPr>
        <w:t>智能预测</w:t>
      </w:r>
      <w:r>
        <w:rPr>
          <w:rFonts w:eastAsia="楷体"/>
          <w:sz w:val="24"/>
          <w:szCs w:val="24"/>
        </w:rPr>
        <w:t>—</w:t>
      </w:r>
      <w:r>
        <w:rPr>
          <w:rFonts w:eastAsia="楷体"/>
          <w:sz w:val="24"/>
          <w:szCs w:val="24"/>
        </w:rPr>
        <w:t>基因编辑验证</w:t>
      </w:r>
      <w:r>
        <w:rPr>
          <w:rFonts w:eastAsia="楷体"/>
          <w:sz w:val="24"/>
          <w:szCs w:val="24"/>
        </w:rPr>
        <w:t>—</w:t>
      </w:r>
      <w:r>
        <w:rPr>
          <w:rFonts w:eastAsia="楷体"/>
          <w:sz w:val="24"/>
          <w:szCs w:val="24"/>
        </w:rPr>
        <w:t>田间推广</w:t>
      </w:r>
      <w:r>
        <w:rPr>
          <w:rFonts w:ascii="楷体" w:eastAsia="楷体" w:hAnsi="楷体"/>
          <w:sz w:val="24"/>
          <w:szCs w:val="24"/>
        </w:rPr>
        <w:t>”</w:t>
      </w:r>
      <w:r>
        <w:rPr>
          <w:rFonts w:eastAsia="楷体"/>
          <w:sz w:val="24"/>
          <w:szCs w:val="24"/>
        </w:rPr>
        <w:t>三级验证体系，实现牧草</w:t>
      </w:r>
      <w:r>
        <w:rPr>
          <w:rFonts w:eastAsia="楷体"/>
          <w:sz w:val="24"/>
          <w:szCs w:val="24"/>
        </w:rPr>
        <w:t>远端调控基因功能解析与精准育种的系统化应用。</w:t>
      </w:r>
      <w:r>
        <w:rPr>
          <w:rFonts w:eastAsia="楷体"/>
          <w:sz w:val="24"/>
          <w:szCs w:val="24"/>
        </w:rPr>
        <w:t xml:space="preserve">  </w:t>
      </w:r>
    </w:p>
    <w:p w14:paraId="0E46E813"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2</w:t>
      </w:r>
      <w:r>
        <w:rPr>
          <w:rFonts w:eastAsia="楷体"/>
          <w:sz w:val="24"/>
          <w:szCs w:val="24"/>
        </w:rPr>
        <w:t>）整合研究成果，构建基于远端调控元件的智能育种决策系统，探索远端调控在新物种形成中的作用，筛选并推广优良牧草新品种。</w:t>
      </w:r>
      <w:r>
        <w:rPr>
          <w:rFonts w:eastAsia="楷体"/>
          <w:sz w:val="24"/>
          <w:szCs w:val="24"/>
        </w:rPr>
        <w:t xml:space="preserve">  </w:t>
      </w:r>
    </w:p>
    <w:p w14:paraId="5141E529"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3</w:t>
      </w:r>
      <w:r>
        <w:rPr>
          <w:rFonts w:eastAsia="楷体"/>
          <w:sz w:val="24"/>
          <w:szCs w:val="24"/>
        </w:rPr>
        <w:t>）拟发表高水平研究论文</w:t>
      </w:r>
      <w:r>
        <w:rPr>
          <w:rFonts w:eastAsia="楷体"/>
          <w:sz w:val="24"/>
          <w:szCs w:val="24"/>
        </w:rPr>
        <w:t>1-2</w:t>
      </w:r>
      <w:r>
        <w:rPr>
          <w:rFonts w:eastAsia="楷体"/>
          <w:sz w:val="24"/>
          <w:szCs w:val="24"/>
        </w:rPr>
        <w:t>篇，总结研究成果，撰写结题报告。</w:t>
      </w:r>
      <w:r>
        <w:rPr>
          <w:rFonts w:eastAsia="楷体"/>
          <w:sz w:val="24"/>
          <w:szCs w:val="24"/>
        </w:rPr>
        <w:t xml:space="preserve"> </w:t>
      </w:r>
    </w:p>
    <w:p w14:paraId="680141F0" w14:textId="77777777" w:rsidR="00E85F48" w:rsidRDefault="00DE2CB8">
      <w:pPr>
        <w:snapToGrid w:val="0"/>
        <w:spacing w:line="440" w:lineRule="exact"/>
        <w:rPr>
          <w:rFonts w:eastAsia="楷体" w:cs="楷体"/>
          <w:b/>
          <w:sz w:val="24"/>
          <w:szCs w:val="24"/>
        </w:rPr>
      </w:pPr>
      <w:r>
        <w:rPr>
          <w:rFonts w:eastAsia="楷体" w:cs="楷体"/>
          <w:b/>
          <w:sz w:val="24"/>
          <w:szCs w:val="24"/>
        </w:rPr>
        <w:t xml:space="preserve"> 5.2 </w:t>
      </w:r>
      <w:r>
        <w:rPr>
          <w:rFonts w:eastAsia="楷体" w:cs="楷体"/>
          <w:b/>
          <w:sz w:val="24"/>
          <w:szCs w:val="24"/>
        </w:rPr>
        <w:t>预期研究成果</w:t>
      </w:r>
      <w:r>
        <w:rPr>
          <w:rFonts w:eastAsia="楷体" w:cs="楷体"/>
          <w:b/>
          <w:sz w:val="24"/>
          <w:szCs w:val="24"/>
        </w:rPr>
        <w:t xml:space="preserve">  </w:t>
      </w:r>
    </w:p>
    <w:p w14:paraId="134B918C"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1</w:t>
      </w:r>
      <w:r>
        <w:rPr>
          <w:rFonts w:eastAsia="楷体"/>
          <w:sz w:val="24"/>
          <w:szCs w:val="24"/>
        </w:rPr>
        <w:t>）构建牧草远端调控基因解析与智能育种平台，建立人工智能驱动的远端调控元件识别方法，开发结合基因编辑和机器学习的精准育种体系，为牧草新品种培育提供新策略。</w:t>
      </w:r>
      <w:r>
        <w:rPr>
          <w:rFonts w:eastAsia="楷体"/>
          <w:sz w:val="24"/>
          <w:szCs w:val="24"/>
        </w:rPr>
        <w:t xml:space="preserve">  </w:t>
      </w:r>
    </w:p>
    <w:p w14:paraId="551B56EA"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2</w:t>
      </w:r>
      <w:r>
        <w:rPr>
          <w:rFonts w:eastAsia="楷体"/>
          <w:sz w:val="24"/>
          <w:szCs w:val="24"/>
        </w:rPr>
        <w:t>）学术与知识产权成果，发表</w:t>
      </w:r>
      <w:r>
        <w:rPr>
          <w:rFonts w:eastAsia="楷体"/>
          <w:sz w:val="24"/>
          <w:szCs w:val="24"/>
        </w:rPr>
        <w:t>SCI</w:t>
      </w:r>
      <w:r>
        <w:rPr>
          <w:rFonts w:eastAsia="楷体"/>
          <w:sz w:val="24"/>
          <w:szCs w:val="24"/>
        </w:rPr>
        <w:t>论文</w:t>
      </w:r>
      <w:r>
        <w:rPr>
          <w:rFonts w:eastAsia="楷体"/>
          <w:sz w:val="24"/>
          <w:szCs w:val="24"/>
        </w:rPr>
        <w:t>4-5</w:t>
      </w:r>
      <w:r>
        <w:rPr>
          <w:rFonts w:eastAsia="楷体"/>
          <w:sz w:val="24"/>
          <w:szCs w:val="24"/>
        </w:rPr>
        <w:t>篇，中文核心论文</w:t>
      </w:r>
      <w:r>
        <w:rPr>
          <w:rFonts w:eastAsia="楷体"/>
          <w:sz w:val="24"/>
          <w:szCs w:val="24"/>
        </w:rPr>
        <w:t>1-2</w:t>
      </w:r>
      <w:r>
        <w:rPr>
          <w:rFonts w:eastAsia="楷体"/>
          <w:sz w:val="24"/>
          <w:szCs w:val="24"/>
        </w:rPr>
        <w:t>篇，申请发</w:t>
      </w:r>
      <w:r>
        <w:rPr>
          <w:rFonts w:eastAsia="楷体"/>
          <w:sz w:val="24"/>
          <w:szCs w:val="24"/>
        </w:rPr>
        <w:t>明专利</w:t>
      </w:r>
      <w:r>
        <w:rPr>
          <w:rFonts w:eastAsia="楷体"/>
          <w:sz w:val="24"/>
          <w:szCs w:val="24"/>
        </w:rPr>
        <w:t>2-4</w:t>
      </w:r>
      <w:r>
        <w:rPr>
          <w:rFonts w:eastAsia="楷体"/>
          <w:sz w:val="24"/>
          <w:szCs w:val="24"/>
        </w:rPr>
        <w:t>项。培养硕士研究生</w:t>
      </w:r>
      <w:r>
        <w:rPr>
          <w:rFonts w:eastAsia="楷体"/>
          <w:sz w:val="24"/>
          <w:szCs w:val="24"/>
        </w:rPr>
        <w:t>4-5</w:t>
      </w:r>
      <w:r>
        <w:rPr>
          <w:rFonts w:eastAsia="楷体"/>
          <w:sz w:val="24"/>
          <w:szCs w:val="24"/>
        </w:rPr>
        <w:t>名。</w:t>
      </w:r>
      <w:r>
        <w:rPr>
          <w:rFonts w:eastAsia="楷体"/>
          <w:sz w:val="24"/>
          <w:szCs w:val="24"/>
        </w:rPr>
        <w:t xml:space="preserve">  </w:t>
      </w:r>
    </w:p>
    <w:p w14:paraId="14E22B8C" w14:textId="77777777" w:rsidR="00E85F48" w:rsidRDefault="00DE2CB8">
      <w:pPr>
        <w:snapToGrid w:val="0"/>
        <w:spacing w:line="440" w:lineRule="exact"/>
        <w:rPr>
          <w:rFonts w:eastAsia="楷体"/>
          <w:sz w:val="24"/>
          <w:szCs w:val="24"/>
        </w:rPr>
      </w:pPr>
      <w:r>
        <w:rPr>
          <w:rFonts w:eastAsia="楷体"/>
          <w:sz w:val="24"/>
          <w:szCs w:val="24"/>
        </w:rPr>
        <w:t>（</w:t>
      </w:r>
      <w:r>
        <w:rPr>
          <w:rFonts w:eastAsia="楷体"/>
          <w:sz w:val="24"/>
          <w:szCs w:val="24"/>
        </w:rPr>
        <w:t>3</w:t>
      </w:r>
      <w:r>
        <w:rPr>
          <w:rFonts w:eastAsia="楷体"/>
          <w:sz w:val="24"/>
          <w:szCs w:val="24"/>
        </w:rPr>
        <w:t>）筛选优良牧草种质资源，通过远端调控元件的解析与精准育种体系，培育具有优良抗逆性、生长优势和高营养价值的新型牧草品种</w:t>
      </w:r>
      <w:r>
        <w:rPr>
          <w:rFonts w:eastAsia="楷体" w:hint="eastAsia"/>
          <w:sz w:val="24"/>
          <w:szCs w:val="24"/>
        </w:rPr>
        <w:t>。</w:t>
      </w:r>
    </w:p>
    <w:permEnd w:id="456415431"/>
    <w:p w14:paraId="43AD59D9" w14:textId="77777777" w:rsidR="00E85F48" w:rsidRDefault="00DE2CB8">
      <w:pPr>
        <w:snapToGrid w:val="0"/>
        <w:spacing w:before="120" w:line="440" w:lineRule="exact"/>
        <w:ind w:firstLineChars="200" w:firstLine="562"/>
        <w:rPr>
          <w:rFonts w:ascii="楷体" w:eastAsia="楷体" w:hAnsi="楷体"/>
          <w:color w:val="0070C0"/>
          <w:sz w:val="28"/>
          <w:szCs w:val="28"/>
        </w:rPr>
      </w:pPr>
      <w:r>
        <w:rPr>
          <w:rFonts w:ascii="楷体" w:eastAsia="楷体" w:hAnsi="楷体" w:cs="楷体_GB2312" w:hint="eastAsia"/>
          <w:b/>
          <w:bCs/>
          <w:color w:val="0070C0"/>
          <w:sz w:val="28"/>
          <w:szCs w:val="28"/>
        </w:rPr>
        <w:t>（二）研究基础与工作条件</w:t>
      </w:r>
    </w:p>
    <w:p w14:paraId="6C5CB850" w14:textId="77777777" w:rsidR="00E85F48" w:rsidRDefault="00DE2CB8">
      <w:pPr>
        <w:snapToGrid w:val="0"/>
        <w:spacing w:line="440" w:lineRule="exact"/>
        <w:ind w:firstLineChars="200" w:firstLine="560"/>
        <w:rPr>
          <w:rFonts w:ascii="楷体" w:eastAsia="楷体" w:hAnsi="楷体" w:cs="楷体_GB2312"/>
          <w:color w:val="0070C0"/>
          <w:sz w:val="28"/>
          <w:szCs w:val="28"/>
        </w:rPr>
      </w:pPr>
      <w:r>
        <w:rPr>
          <w:rFonts w:ascii="楷体" w:eastAsia="楷体" w:hAnsi="楷体"/>
          <w:color w:val="0070C0"/>
          <w:sz w:val="28"/>
          <w:szCs w:val="28"/>
        </w:rPr>
        <w:lastRenderedPageBreak/>
        <w:t>1</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研究基础</w:t>
      </w:r>
      <w:r>
        <w:rPr>
          <w:rFonts w:ascii="楷体" w:eastAsia="楷体" w:hAnsi="楷体" w:cs="楷体_GB2312" w:hint="eastAsia"/>
          <w:color w:val="0070C0"/>
          <w:sz w:val="28"/>
          <w:szCs w:val="28"/>
        </w:rPr>
        <w:t>（与本项目相关的研究工作积累和已取得的研究工作成绩）；</w:t>
      </w:r>
    </w:p>
    <w:p w14:paraId="3C17D723" w14:textId="77777777" w:rsidR="00E85F48" w:rsidRDefault="00DE2CB8">
      <w:pPr>
        <w:widowControl/>
        <w:spacing w:line="440" w:lineRule="exact"/>
        <w:ind w:firstLineChars="200" w:firstLine="480"/>
        <w:rPr>
          <w:rFonts w:eastAsia="楷体"/>
          <w:sz w:val="24"/>
          <w:szCs w:val="24"/>
        </w:rPr>
      </w:pPr>
      <w:permStart w:id="823481797" w:edGrp="everyone"/>
      <w:r>
        <w:rPr>
          <w:rFonts w:eastAsia="楷体" w:hint="eastAsia"/>
          <w:sz w:val="24"/>
          <w:szCs w:val="24"/>
        </w:rPr>
        <w:t>申请人为四川农业大学教授，博士生导师，要聚焦智慧农业领域，依托人工智能、大数据、超级计算等技术解决育种、土壤、栽培等领域难题。主持</w:t>
      </w:r>
      <w:r>
        <w:rPr>
          <w:rFonts w:eastAsia="楷体" w:hint="eastAsia"/>
          <w:sz w:val="24"/>
          <w:szCs w:val="24"/>
        </w:rPr>
        <w:t>/</w:t>
      </w:r>
      <w:proofErr w:type="gramStart"/>
      <w:r>
        <w:rPr>
          <w:rFonts w:eastAsia="楷体" w:hint="eastAsia"/>
          <w:sz w:val="24"/>
          <w:szCs w:val="24"/>
        </w:rPr>
        <w:t>研</w:t>
      </w:r>
      <w:proofErr w:type="gramEnd"/>
      <w:r>
        <w:rPr>
          <w:rFonts w:eastAsia="楷体" w:hint="eastAsia"/>
          <w:sz w:val="24"/>
          <w:szCs w:val="24"/>
        </w:rPr>
        <w:t>国家及省部级项目</w:t>
      </w:r>
      <w:r>
        <w:rPr>
          <w:rFonts w:eastAsia="楷体" w:hint="eastAsia"/>
          <w:sz w:val="24"/>
          <w:szCs w:val="24"/>
        </w:rPr>
        <w:t>13</w:t>
      </w:r>
      <w:r>
        <w:rPr>
          <w:rFonts w:eastAsia="楷体" w:hint="eastAsia"/>
          <w:sz w:val="24"/>
          <w:szCs w:val="24"/>
        </w:rPr>
        <w:t>项</w:t>
      </w:r>
      <w:r>
        <w:rPr>
          <w:rFonts w:eastAsia="楷体" w:hint="eastAsia"/>
          <w:sz w:val="24"/>
          <w:szCs w:val="24"/>
        </w:rPr>
        <w:t>;</w:t>
      </w:r>
      <w:r>
        <w:rPr>
          <w:rFonts w:eastAsia="楷体" w:hint="eastAsia"/>
          <w:sz w:val="24"/>
          <w:szCs w:val="24"/>
        </w:rPr>
        <w:t>获省级奖励</w:t>
      </w:r>
      <w:r>
        <w:rPr>
          <w:rFonts w:eastAsia="楷体" w:hint="eastAsia"/>
          <w:sz w:val="24"/>
          <w:szCs w:val="24"/>
        </w:rPr>
        <w:t>6</w:t>
      </w:r>
      <w:r>
        <w:rPr>
          <w:rFonts w:eastAsia="楷体" w:hint="eastAsia"/>
          <w:sz w:val="24"/>
          <w:szCs w:val="24"/>
        </w:rPr>
        <w:t>项；发表论文</w:t>
      </w:r>
      <w:r>
        <w:rPr>
          <w:rFonts w:eastAsia="楷体" w:hint="eastAsia"/>
          <w:sz w:val="24"/>
          <w:szCs w:val="24"/>
        </w:rPr>
        <w:t>66</w:t>
      </w:r>
      <w:r>
        <w:rPr>
          <w:rFonts w:eastAsia="楷体" w:hint="eastAsia"/>
          <w:sz w:val="24"/>
          <w:szCs w:val="24"/>
        </w:rPr>
        <w:t>篇（</w:t>
      </w:r>
      <w:r>
        <w:rPr>
          <w:rFonts w:eastAsia="楷体" w:hint="eastAsia"/>
          <w:sz w:val="24"/>
          <w:szCs w:val="24"/>
        </w:rPr>
        <w:t xml:space="preserve">SCT </w:t>
      </w:r>
      <w:r>
        <w:rPr>
          <w:rFonts w:eastAsia="楷体" w:hint="eastAsia"/>
          <w:sz w:val="24"/>
          <w:szCs w:val="24"/>
        </w:rPr>
        <w:t>收录论文</w:t>
      </w:r>
      <w:r>
        <w:rPr>
          <w:rFonts w:eastAsia="楷体" w:hint="eastAsia"/>
          <w:sz w:val="24"/>
          <w:szCs w:val="24"/>
        </w:rPr>
        <w:t>56</w:t>
      </w:r>
      <w:r>
        <w:rPr>
          <w:rFonts w:eastAsia="楷体" w:hint="eastAsia"/>
          <w:sz w:val="24"/>
          <w:szCs w:val="24"/>
        </w:rPr>
        <w:t>篇），代表著</w:t>
      </w:r>
      <w:r>
        <w:rPr>
          <w:rFonts w:eastAsia="楷体" w:hint="eastAsia"/>
          <w:sz w:val="24"/>
          <w:szCs w:val="24"/>
        </w:rPr>
        <w:t>5</w:t>
      </w:r>
      <w:r>
        <w:rPr>
          <w:rFonts w:eastAsia="楷体" w:hint="eastAsia"/>
          <w:sz w:val="24"/>
          <w:szCs w:val="24"/>
        </w:rPr>
        <w:t>部；获授权国家专利</w:t>
      </w:r>
      <w:r>
        <w:rPr>
          <w:rFonts w:eastAsia="楷体" w:hint="eastAsia"/>
          <w:sz w:val="24"/>
          <w:szCs w:val="24"/>
        </w:rPr>
        <w:t>9</w:t>
      </w:r>
      <w:r>
        <w:rPr>
          <w:rFonts w:eastAsia="楷体" w:hint="eastAsia"/>
          <w:sz w:val="24"/>
          <w:szCs w:val="24"/>
        </w:rPr>
        <w:t>件、软件著作权</w:t>
      </w:r>
      <w:r>
        <w:rPr>
          <w:rFonts w:eastAsia="楷体" w:hint="eastAsia"/>
          <w:sz w:val="24"/>
          <w:szCs w:val="24"/>
        </w:rPr>
        <w:t>25</w:t>
      </w:r>
      <w:r>
        <w:rPr>
          <w:rFonts w:eastAsia="楷体" w:hint="eastAsia"/>
          <w:sz w:val="24"/>
          <w:szCs w:val="24"/>
        </w:rPr>
        <w:t>项。获四川省科技进步奖、四川省教学成果奖等部省级教学科研二等奖以上共计</w:t>
      </w:r>
      <w:r>
        <w:rPr>
          <w:rFonts w:eastAsia="楷体" w:hint="eastAsia"/>
          <w:sz w:val="24"/>
          <w:szCs w:val="24"/>
        </w:rPr>
        <w:t>7</w:t>
      </w:r>
      <w:r>
        <w:rPr>
          <w:rFonts w:eastAsia="楷体" w:hint="eastAsia"/>
          <w:sz w:val="24"/>
          <w:szCs w:val="24"/>
        </w:rPr>
        <w:t>项。</w:t>
      </w:r>
      <w:r>
        <w:rPr>
          <w:rFonts w:eastAsia="楷体"/>
          <w:sz w:val="24"/>
          <w:szCs w:val="24"/>
        </w:rPr>
        <w:t>本项目依托四川农业大学西南作物基因资源发掘与利用国家重点实验室和四川农业大学高性能计算平台。项目团队将人工智能与生物技术深度融合，开创性地建立</w:t>
      </w:r>
      <w:r>
        <w:rPr>
          <w:rFonts w:eastAsia="楷体" w:hint="eastAsia"/>
          <w:sz w:val="24"/>
          <w:szCs w:val="24"/>
        </w:rPr>
        <w:t>“</w:t>
      </w:r>
      <w:r>
        <w:rPr>
          <w:rFonts w:eastAsia="楷体"/>
          <w:sz w:val="24"/>
          <w:szCs w:val="24"/>
        </w:rPr>
        <w:t>多组学数据</w:t>
      </w:r>
      <w:r>
        <w:rPr>
          <w:rFonts w:eastAsia="楷体"/>
          <w:sz w:val="24"/>
          <w:szCs w:val="24"/>
        </w:rPr>
        <w:t>-</w:t>
      </w:r>
      <w:r>
        <w:rPr>
          <w:rFonts w:eastAsia="楷体"/>
          <w:sz w:val="24"/>
          <w:szCs w:val="24"/>
        </w:rPr>
        <w:t>分子机制解析</w:t>
      </w:r>
      <w:r>
        <w:rPr>
          <w:rFonts w:eastAsia="楷体"/>
          <w:sz w:val="24"/>
          <w:szCs w:val="24"/>
        </w:rPr>
        <w:t>-</w:t>
      </w:r>
      <w:r>
        <w:rPr>
          <w:rFonts w:eastAsia="楷体"/>
          <w:sz w:val="24"/>
          <w:szCs w:val="24"/>
        </w:rPr>
        <w:t>智能</w:t>
      </w:r>
      <w:r>
        <w:rPr>
          <w:rFonts w:eastAsia="楷体"/>
          <w:sz w:val="24"/>
          <w:szCs w:val="24"/>
        </w:rPr>
        <w:t>设计育种</w:t>
      </w:r>
      <w:r>
        <w:rPr>
          <w:rFonts w:eastAsia="楷体" w:hint="eastAsia"/>
          <w:sz w:val="24"/>
          <w:szCs w:val="24"/>
        </w:rPr>
        <w:t>”</w:t>
      </w:r>
      <w:r>
        <w:rPr>
          <w:rFonts w:eastAsia="楷体"/>
          <w:sz w:val="24"/>
          <w:szCs w:val="24"/>
        </w:rPr>
        <w:t>研究范式。在前期构建全球首个美洲狼尾草图形泛基因组的基础上，运用机器学习算法对</w:t>
      </w:r>
      <w:r>
        <w:rPr>
          <w:rFonts w:eastAsia="楷体"/>
          <w:sz w:val="24"/>
          <w:szCs w:val="24"/>
        </w:rPr>
        <w:t>RWP-RK</w:t>
      </w:r>
      <w:r>
        <w:rPr>
          <w:rFonts w:eastAsia="楷体"/>
          <w:sz w:val="24"/>
          <w:szCs w:val="24"/>
        </w:rPr>
        <w:t>基因家族进行进化分析与功能预测，结合自主开发的</w:t>
      </w:r>
      <w:r>
        <w:rPr>
          <w:rFonts w:eastAsia="楷体"/>
          <w:sz w:val="24"/>
          <w:szCs w:val="24"/>
        </w:rPr>
        <w:t>DAP-seq</w:t>
      </w:r>
      <w:r>
        <w:rPr>
          <w:rFonts w:eastAsia="楷体"/>
          <w:sz w:val="24"/>
          <w:szCs w:val="24"/>
        </w:rPr>
        <w:t>数据分析平台，系统揭示了关键基因的耐热调控网络。通过融合荧光报告系统与便携式检测装置，实现了关键靶基因的快速验证，相关技术已成功应用于耐热新材料的创制。在种质资源研究方面，团队运用自主开发的地理信息系统（</w:t>
      </w:r>
      <w:r>
        <w:rPr>
          <w:rFonts w:eastAsia="楷体"/>
          <w:sz w:val="24"/>
          <w:szCs w:val="24"/>
        </w:rPr>
        <w:t>GIS</w:t>
      </w:r>
      <w:r>
        <w:rPr>
          <w:rFonts w:eastAsia="楷体"/>
          <w:sz w:val="24"/>
          <w:szCs w:val="24"/>
        </w:rPr>
        <w:t>）和大数据挖掘技术，构建了中国樱桃核心</w:t>
      </w:r>
      <w:r>
        <w:rPr>
          <w:rFonts w:eastAsia="楷体"/>
          <w:sz w:val="24"/>
          <w:szCs w:val="24"/>
        </w:rPr>
        <w:t>SNP</w:t>
      </w:r>
      <w:r>
        <w:rPr>
          <w:rFonts w:eastAsia="楷体"/>
          <w:sz w:val="24"/>
          <w:szCs w:val="24"/>
        </w:rPr>
        <w:t>分子标记数据库，创新采用深度学习算法对</w:t>
      </w:r>
      <w:r>
        <w:rPr>
          <w:rFonts w:eastAsia="楷体"/>
          <w:sz w:val="24"/>
          <w:szCs w:val="24"/>
        </w:rPr>
        <w:t>1674</w:t>
      </w:r>
      <w:r>
        <w:rPr>
          <w:rFonts w:eastAsia="楷体"/>
          <w:sz w:val="24"/>
          <w:szCs w:val="24"/>
        </w:rPr>
        <w:t>个标记位点进行特征提取，开发出具有自主知识产权的</w:t>
      </w:r>
      <w:r>
        <w:rPr>
          <w:rFonts w:eastAsia="楷体"/>
          <w:sz w:val="24"/>
          <w:szCs w:val="24"/>
        </w:rPr>
        <w:t>DN</w:t>
      </w:r>
      <w:r>
        <w:rPr>
          <w:rFonts w:eastAsia="楷体"/>
          <w:sz w:val="24"/>
          <w:szCs w:val="24"/>
        </w:rPr>
        <w:t>A</w:t>
      </w:r>
      <w:r>
        <w:rPr>
          <w:rFonts w:eastAsia="楷体"/>
          <w:sz w:val="24"/>
          <w:szCs w:val="24"/>
        </w:rPr>
        <w:t>指纹图谱智能识别系。上述科研经历</w:t>
      </w:r>
      <w:r>
        <w:rPr>
          <w:rFonts w:eastAsia="楷体" w:hint="eastAsia"/>
          <w:sz w:val="24"/>
          <w:szCs w:val="24"/>
        </w:rPr>
        <w:t>与成果</w:t>
      </w:r>
      <w:r>
        <w:rPr>
          <w:rFonts w:eastAsia="楷体"/>
          <w:sz w:val="24"/>
          <w:szCs w:val="24"/>
        </w:rPr>
        <w:t>为本项目的顺利开展奠定了坚实基础</w:t>
      </w:r>
      <w:r>
        <w:rPr>
          <w:rFonts w:eastAsia="楷体" w:hint="eastAsia"/>
          <w:sz w:val="24"/>
          <w:szCs w:val="24"/>
        </w:rPr>
        <w:t>。</w:t>
      </w:r>
      <w:r>
        <w:rPr>
          <w:rFonts w:eastAsia="楷体"/>
          <w:sz w:val="24"/>
          <w:szCs w:val="24"/>
        </w:rPr>
        <w:t>其中与本项目紧密相关的代表性研究包括：</w:t>
      </w:r>
    </w:p>
    <w:p w14:paraId="79A54023" w14:textId="77777777" w:rsidR="00E85F48" w:rsidRDefault="00DE2CB8">
      <w:pPr>
        <w:widowControl/>
        <w:spacing w:line="440" w:lineRule="exact"/>
        <w:rPr>
          <w:rFonts w:eastAsia="楷体"/>
          <w:sz w:val="24"/>
          <w:szCs w:val="24"/>
        </w:rPr>
      </w:pPr>
      <w:r>
        <w:rPr>
          <w:rFonts w:eastAsia="楷体"/>
          <w:sz w:val="24"/>
          <w:szCs w:val="24"/>
        </w:rPr>
        <w:t xml:space="preserve"> </w:t>
      </w:r>
      <w:r>
        <w:rPr>
          <w:rFonts w:eastAsia="楷体"/>
          <w:sz w:val="24"/>
          <w:szCs w:val="24"/>
        </w:rPr>
        <w:t>（</w:t>
      </w:r>
      <w:r>
        <w:rPr>
          <w:rFonts w:eastAsia="楷体"/>
          <w:sz w:val="24"/>
          <w:szCs w:val="24"/>
        </w:rPr>
        <w:t>1</w:t>
      </w:r>
      <w:r>
        <w:rPr>
          <w:rFonts w:eastAsia="楷体"/>
          <w:sz w:val="24"/>
          <w:szCs w:val="24"/>
        </w:rPr>
        <w:t>）生物育种理论体系建模与验证</w:t>
      </w:r>
      <w:r>
        <w:rPr>
          <w:rFonts w:eastAsia="楷体"/>
          <w:sz w:val="24"/>
          <w:szCs w:val="24"/>
        </w:rPr>
        <w:t xml:space="preserve">  </w:t>
      </w:r>
    </w:p>
    <w:p w14:paraId="539A8A88" w14:textId="77777777" w:rsidR="00E85F48" w:rsidRDefault="00DE2CB8">
      <w:pPr>
        <w:widowControl/>
        <w:spacing w:line="440" w:lineRule="exact"/>
        <w:ind w:firstLine="420"/>
        <w:rPr>
          <w:rFonts w:eastAsia="楷体"/>
          <w:sz w:val="24"/>
          <w:szCs w:val="24"/>
        </w:rPr>
      </w:pPr>
      <w:r>
        <w:rPr>
          <w:rFonts w:eastAsia="楷体"/>
          <w:sz w:val="24"/>
          <w:szCs w:val="24"/>
        </w:rPr>
        <w:t>团队长期聚焦西南地区水稻种质资源的发掘与功能基因研究，系统解析了水稻高产、优质与抗病等关键性状的遗传基础，构建了水稻生物育种理论体系并实现应用验证。依托西南特有的野生稻</w:t>
      </w:r>
      <w:r>
        <w:rPr>
          <w:rFonts w:eastAsia="楷体" w:hint="eastAsia"/>
          <w:sz w:val="24"/>
          <w:szCs w:val="24"/>
        </w:rPr>
        <w:t>“</w:t>
      </w:r>
      <w:r>
        <w:rPr>
          <w:rFonts w:eastAsia="楷体"/>
          <w:sz w:val="24"/>
          <w:szCs w:val="24"/>
        </w:rPr>
        <w:t>地谷</w:t>
      </w:r>
      <w:r>
        <w:rPr>
          <w:rFonts w:eastAsia="楷体" w:hint="eastAsia"/>
          <w:sz w:val="24"/>
          <w:szCs w:val="24"/>
        </w:rPr>
        <w:t>”</w:t>
      </w:r>
      <w:r>
        <w:rPr>
          <w:rFonts w:eastAsia="楷体"/>
          <w:sz w:val="24"/>
          <w:szCs w:val="24"/>
        </w:rPr>
        <w:t>，克隆并解析了稻瘟病广谱抗性基因</w:t>
      </w:r>
      <w:r>
        <w:rPr>
          <w:rFonts w:eastAsia="楷体"/>
          <w:sz w:val="24"/>
          <w:szCs w:val="24"/>
        </w:rPr>
        <w:t>bsr-d1</w:t>
      </w:r>
      <w:r>
        <w:rPr>
          <w:rFonts w:eastAsia="楷体"/>
          <w:sz w:val="24"/>
          <w:szCs w:val="24"/>
        </w:rPr>
        <w:t>，阐明其调控机制</w:t>
      </w:r>
      <w:r>
        <w:rPr>
          <w:rFonts w:eastAsia="楷体" w:hint="eastAsia"/>
          <w:sz w:val="24"/>
          <w:szCs w:val="24"/>
        </w:rPr>
        <w:t>，</w:t>
      </w:r>
      <w:r>
        <w:rPr>
          <w:rFonts w:eastAsia="楷体"/>
          <w:sz w:val="24"/>
          <w:szCs w:val="24"/>
        </w:rPr>
        <w:t>为水稻抗病育种提供了关键理论依据</w:t>
      </w:r>
      <w:r>
        <w:rPr>
          <w:rFonts w:eastAsia="楷体" w:hint="eastAsia"/>
          <w:sz w:val="24"/>
          <w:szCs w:val="24"/>
        </w:rPr>
        <w:t>（</w:t>
      </w:r>
      <w:r>
        <w:rPr>
          <w:rFonts w:eastAsia="楷体"/>
          <w:sz w:val="24"/>
          <w:szCs w:val="24"/>
        </w:rPr>
        <w:t>Peng Qin et al, Cell</w:t>
      </w:r>
      <w:r>
        <w:rPr>
          <w:rFonts w:eastAsia="楷体" w:hint="eastAsia"/>
          <w:sz w:val="24"/>
          <w:szCs w:val="24"/>
        </w:rPr>
        <w:t>）</w:t>
      </w:r>
      <w:r>
        <w:rPr>
          <w:rFonts w:eastAsia="楷体"/>
          <w:sz w:val="24"/>
          <w:szCs w:val="24"/>
        </w:rPr>
        <w:t>。进一步揭示水稻理想株型基因</w:t>
      </w:r>
      <w:r>
        <w:rPr>
          <w:rFonts w:eastAsia="楷体"/>
          <w:sz w:val="24"/>
          <w:szCs w:val="24"/>
        </w:rPr>
        <w:t>IPA1</w:t>
      </w:r>
      <w:r>
        <w:rPr>
          <w:rFonts w:eastAsia="楷体"/>
          <w:sz w:val="24"/>
          <w:szCs w:val="24"/>
        </w:rPr>
        <w:t>的调控网络，提出株型优化与抗病性状协同改良模型，为水稻复杂性状分子设计提供了理论基础。</w:t>
      </w:r>
      <w:r>
        <w:rPr>
          <w:rFonts w:eastAsia="楷体"/>
          <w:sz w:val="24"/>
          <w:szCs w:val="24"/>
        </w:rPr>
        <w:t xml:space="preserve">  </w:t>
      </w:r>
    </w:p>
    <w:p w14:paraId="6AC15B25" w14:textId="77777777" w:rsidR="00E85F48" w:rsidRDefault="00DE2CB8">
      <w:pPr>
        <w:widowControl/>
        <w:spacing w:line="440" w:lineRule="exact"/>
        <w:ind w:firstLine="420"/>
        <w:rPr>
          <w:rFonts w:eastAsia="楷体"/>
          <w:sz w:val="24"/>
          <w:szCs w:val="24"/>
        </w:rPr>
      </w:pPr>
      <w:r>
        <w:rPr>
          <w:rFonts w:eastAsia="楷体"/>
          <w:sz w:val="24"/>
          <w:szCs w:val="24"/>
        </w:rPr>
        <w:t>在遗传结构建模方面，团队基于</w:t>
      </w:r>
      <w:r>
        <w:rPr>
          <w:rFonts w:eastAsia="楷体"/>
          <w:sz w:val="24"/>
          <w:szCs w:val="24"/>
        </w:rPr>
        <w:t>33</w:t>
      </w:r>
      <w:r>
        <w:rPr>
          <w:rFonts w:eastAsia="楷体"/>
          <w:sz w:val="24"/>
          <w:szCs w:val="24"/>
        </w:rPr>
        <w:t>份代表性水稻材料，构建了目前最完整的水稻图形泛基因组，系统揭示农艺性状相关的结构变异规律。通过泛基因组和多组学整合分析，建立了</w:t>
      </w:r>
      <w:r>
        <w:rPr>
          <w:rFonts w:eastAsia="楷体" w:hint="eastAsia"/>
          <w:sz w:val="24"/>
          <w:szCs w:val="24"/>
        </w:rPr>
        <w:t>“</w:t>
      </w:r>
      <w:r>
        <w:rPr>
          <w:rFonts w:eastAsia="楷体"/>
          <w:sz w:val="24"/>
          <w:szCs w:val="24"/>
        </w:rPr>
        <w:t>优异等位基因识别</w:t>
      </w:r>
      <w:r>
        <w:rPr>
          <w:rFonts w:eastAsia="楷体"/>
          <w:sz w:val="24"/>
          <w:szCs w:val="24"/>
        </w:rPr>
        <w:t>—</w:t>
      </w:r>
      <w:r>
        <w:rPr>
          <w:rFonts w:eastAsia="楷体"/>
          <w:sz w:val="24"/>
          <w:szCs w:val="24"/>
        </w:rPr>
        <w:t>功能验证</w:t>
      </w:r>
      <w:r>
        <w:rPr>
          <w:rFonts w:eastAsia="楷体"/>
          <w:sz w:val="24"/>
          <w:szCs w:val="24"/>
        </w:rPr>
        <w:t>—</w:t>
      </w:r>
      <w:r>
        <w:rPr>
          <w:rFonts w:eastAsia="楷体"/>
          <w:sz w:val="24"/>
          <w:szCs w:val="24"/>
        </w:rPr>
        <w:t>多基因聚合设计</w:t>
      </w:r>
      <w:r>
        <w:rPr>
          <w:rFonts w:eastAsia="楷体" w:hint="eastAsia"/>
          <w:sz w:val="24"/>
          <w:szCs w:val="24"/>
        </w:rPr>
        <w:t>”</w:t>
      </w:r>
      <w:r>
        <w:rPr>
          <w:rFonts w:eastAsia="楷体"/>
          <w:sz w:val="24"/>
          <w:szCs w:val="24"/>
        </w:rPr>
        <w:t>的水稻分子设计育种理论体系。基于该体系，已实现多个高产、抗病水稻新品种的分子设计与创制，验证了理论体系的科学性和实用性。</w:t>
      </w:r>
    </w:p>
    <w:p w14:paraId="16D28F2F" w14:textId="77777777" w:rsidR="00E85F48" w:rsidRDefault="00DE2CB8">
      <w:pPr>
        <w:widowControl/>
        <w:spacing w:line="440" w:lineRule="exact"/>
        <w:ind w:firstLine="420"/>
        <w:jc w:val="left"/>
        <w:rPr>
          <w:rFonts w:eastAsia="楷体"/>
          <w:sz w:val="24"/>
          <w:szCs w:val="24"/>
        </w:rPr>
      </w:pPr>
      <w:r>
        <w:rPr>
          <w:rFonts w:eastAsia="楷体"/>
          <w:b/>
          <w:bCs/>
          <w:sz w:val="24"/>
          <w:szCs w:val="24"/>
        </w:rPr>
        <w:lastRenderedPageBreak/>
        <w:t>与本项目关联：</w:t>
      </w:r>
      <w:r>
        <w:rPr>
          <w:rFonts w:eastAsia="楷体"/>
          <w:sz w:val="24"/>
          <w:szCs w:val="24"/>
        </w:rPr>
        <w:t>团队依托多年在水稻分子设计育种领域的研究基础</w:t>
      </w:r>
      <w:r>
        <w:rPr>
          <w:rFonts w:eastAsia="楷体"/>
          <w:sz w:val="24"/>
          <w:szCs w:val="24"/>
        </w:rPr>
        <w:t>，系统解析了高产、优质、抗病等复杂性状的遗传机制，构建了水稻生物育种理论体系，并通过广谱抗病基因</w:t>
      </w:r>
      <w:r>
        <w:rPr>
          <w:rFonts w:eastAsia="楷体"/>
          <w:sz w:val="24"/>
          <w:szCs w:val="24"/>
        </w:rPr>
        <w:t xml:space="preserve"> bsr-d1 </w:t>
      </w:r>
      <w:r>
        <w:rPr>
          <w:rFonts w:eastAsia="楷体"/>
          <w:sz w:val="24"/>
          <w:szCs w:val="24"/>
        </w:rPr>
        <w:t>和理想株型基因</w:t>
      </w:r>
      <w:r>
        <w:rPr>
          <w:rFonts w:eastAsia="楷体"/>
          <w:sz w:val="24"/>
          <w:szCs w:val="24"/>
        </w:rPr>
        <w:t xml:space="preserve"> IPA1 </w:t>
      </w:r>
      <w:r>
        <w:rPr>
          <w:rFonts w:eastAsia="楷体"/>
          <w:sz w:val="24"/>
          <w:szCs w:val="24"/>
        </w:rPr>
        <w:t>的功能解析，实现了水稻分子设计新品种的创制和应用。基于水稻泛基因组和多组学整合分析，团队建立了</w:t>
      </w:r>
      <w:r>
        <w:rPr>
          <w:rFonts w:eastAsia="楷体" w:hint="eastAsia"/>
          <w:sz w:val="24"/>
          <w:szCs w:val="24"/>
        </w:rPr>
        <w:t>“</w:t>
      </w:r>
      <w:r>
        <w:rPr>
          <w:rFonts w:eastAsia="楷体"/>
          <w:sz w:val="24"/>
          <w:szCs w:val="24"/>
        </w:rPr>
        <w:t>优异等位基因识别</w:t>
      </w:r>
      <w:r>
        <w:rPr>
          <w:rFonts w:eastAsia="楷体"/>
          <w:sz w:val="24"/>
          <w:szCs w:val="24"/>
        </w:rPr>
        <w:t>—</w:t>
      </w:r>
      <w:r>
        <w:rPr>
          <w:rFonts w:eastAsia="楷体"/>
          <w:sz w:val="24"/>
          <w:szCs w:val="24"/>
        </w:rPr>
        <w:t>功能验证</w:t>
      </w:r>
      <w:r>
        <w:rPr>
          <w:rFonts w:eastAsia="楷体"/>
          <w:sz w:val="24"/>
          <w:szCs w:val="24"/>
        </w:rPr>
        <w:t>—</w:t>
      </w:r>
      <w:r>
        <w:rPr>
          <w:rFonts w:eastAsia="楷体"/>
          <w:sz w:val="24"/>
          <w:szCs w:val="24"/>
        </w:rPr>
        <w:t>多基因聚合设计</w:t>
      </w:r>
      <w:r>
        <w:rPr>
          <w:rFonts w:eastAsia="楷体" w:hint="eastAsia"/>
          <w:sz w:val="24"/>
          <w:szCs w:val="24"/>
        </w:rPr>
        <w:t>”</w:t>
      </w:r>
      <w:r>
        <w:rPr>
          <w:rFonts w:eastAsia="楷体"/>
          <w:sz w:val="24"/>
          <w:szCs w:val="24"/>
        </w:rPr>
        <w:t>的育种体系。当前研究在此基础上，面向牧草复杂性状，重点解析多类型遗传变异与远端调控机制，融合染色质空间结构和人工智能算法，构建牧草精准育种体系，</w:t>
      </w:r>
      <w:r>
        <w:rPr>
          <w:rFonts w:eastAsia="楷体" w:hint="eastAsia"/>
          <w:sz w:val="24"/>
          <w:szCs w:val="24"/>
        </w:rPr>
        <w:t>推动牧草种质创新和高效利用，促进优异性状基因的精准挖掘与应用，加快优质、高产、抗逆牧草品种</w:t>
      </w:r>
      <w:r>
        <w:rPr>
          <w:rFonts w:eastAsia="楷体" w:hint="eastAsia"/>
          <w:sz w:val="24"/>
          <w:szCs w:val="24"/>
        </w:rPr>
        <w:t>的选育进程。</w:t>
      </w:r>
    </w:p>
    <w:p w14:paraId="26CBB167" w14:textId="4382EF8C" w:rsidR="00E85F48" w:rsidRDefault="00E85F48">
      <w:pPr>
        <w:widowControl/>
        <w:spacing w:line="360" w:lineRule="auto"/>
        <w:jc w:val="center"/>
        <w:rPr>
          <w:sz w:val="24"/>
          <w:szCs w:val="24"/>
        </w:rPr>
      </w:pPr>
    </w:p>
    <w:p w14:paraId="6F618027" w14:textId="77777777" w:rsidR="00E85F48" w:rsidRDefault="00DE2CB8">
      <w:pPr>
        <w:spacing w:line="360" w:lineRule="auto"/>
        <w:jc w:val="center"/>
        <w:rPr>
          <w:rFonts w:eastAsia="楷体"/>
          <w:sz w:val="24"/>
          <w:szCs w:val="24"/>
        </w:rPr>
      </w:pPr>
      <w:r>
        <w:rPr>
          <w:rFonts w:eastAsia="楷体"/>
          <w:sz w:val="24"/>
          <w:szCs w:val="24"/>
        </w:rPr>
        <w:t>图</w:t>
      </w:r>
      <w:r>
        <w:rPr>
          <w:rFonts w:eastAsia="楷体"/>
          <w:sz w:val="24"/>
          <w:szCs w:val="24"/>
        </w:rPr>
        <w:t>6</w:t>
      </w:r>
      <w:r>
        <w:rPr>
          <w:rFonts w:eastAsia="楷体" w:hint="eastAsia"/>
          <w:sz w:val="24"/>
          <w:szCs w:val="24"/>
        </w:rPr>
        <w:t>.</w:t>
      </w:r>
      <w:r>
        <w:rPr>
          <w:rFonts w:eastAsia="楷体"/>
          <w:sz w:val="24"/>
          <w:szCs w:val="24"/>
        </w:rPr>
        <w:t xml:space="preserve"> </w:t>
      </w:r>
      <w:r>
        <w:rPr>
          <w:rFonts w:eastAsia="楷体"/>
          <w:sz w:val="24"/>
          <w:szCs w:val="24"/>
        </w:rPr>
        <w:t>西南地区水稻种质资源的发掘</w:t>
      </w:r>
    </w:p>
    <w:p w14:paraId="0A7E39CE" w14:textId="77777777" w:rsidR="00E85F48" w:rsidRDefault="00DE2CB8">
      <w:pPr>
        <w:widowControl/>
        <w:spacing w:line="440" w:lineRule="exact"/>
        <w:rPr>
          <w:rFonts w:eastAsia="楷体"/>
          <w:sz w:val="24"/>
          <w:szCs w:val="24"/>
        </w:rPr>
      </w:pPr>
      <w:r>
        <w:rPr>
          <w:rFonts w:eastAsia="楷体"/>
          <w:sz w:val="24"/>
          <w:szCs w:val="24"/>
        </w:rPr>
        <w:t>（</w:t>
      </w:r>
      <w:r>
        <w:rPr>
          <w:rFonts w:eastAsia="楷体"/>
          <w:sz w:val="24"/>
          <w:szCs w:val="24"/>
        </w:rPr>
        <w:t>2</w:t>
      </w:r>
      <w:r>
        <w:rPr>
          <w:rFonts w:eastAsia="楷体"/>
          <w:sz w:val="24"/>
          <w:szCs w:val="24"/>
        </w:rPr>
        <w:t>）多品种牧草基因组变异数据构建</w:t>
      </w:r>
      <w:r>
        <w:rPr>
          <w:rFonts w:eastAsia="楷体"/>
          <w:sz w:val="24"/>
          <w:szCs w:val="24"/>
        </w:rPr>
        <w:t xml:space="preserve">  </w:t>
      </w:r>
    </w:p>
    <w:p w14:paraId="277C3B06" w14:textId="77777777" w:rsidR="00E85F48" w:rsidRDefault="00DE2CB8">
      <w:pPr>
        <w:widowControl/>
        <w:spacing w:line="440" w:lineRule="exact"/>
        <w:ind w:firstLine="420"/>
        <w:rPr>
          <w:rFonts w:eastAsia="楷体"/>
          <w:sz w:val="24"/>
          <w:szCs w:val="24"/>
        </w:rPr>
      </w:pPr>
      <w:r>
        <w:rPr>
          <w:rFonts w:eastAsia="楷体"/>
          <w:sz w:val="24"/>
          <w:szCs w:val="24"/>
        </w:rPr>
        <w:t>团队聚焦牧草基因组多样性与功能变异研究，系统开展多品种牧草基因组变异数据的构建与分析工作，取得重要进展。通过对来自全球的</w:t>
      </w:r>
      <w:r>
        <w:rPr>
          <w:rFonts w:eastAsia="楷体"/>
          <w:sz w:val="24"/>
          <w:szCs w:val="24"/>
        </w:rPr>
        <w:t>394</w:t>
      </w:r>
      <w:r>
        <w:rPr>
          <w:rFonts w:eastAsia="楷体"/>
          <w:sz w:val="24"/>
          <w:szCs w:val="24"/>
        </w:rPr>
        <w:t>份核心牧草种质资源开展基因组测序与比较分析，成功构建了涵盖</w:t>
      </w:r>
      <w:r>
        <w:rPr>
          <w:rFonts w:eastAsia="楷体"/>
          <w:sz w:val="24"/>
          <w:szCs w:val="24"/>
        </w:rPr>
        <w:t>SNP</w:t>
      </w:r>
      <w:r>
        <w:rPr>
          <w:rFonts w:eastAsia="楷体"/>
          <w:sz w:val="24"/>
          <w:szCs w:val="24"/>
        </w:rPr>
        <w:t>、</w:t>
      </w:r>
      <w:r>
        <w:rPr>
          <w:rFonts w:eastAsia="楷体"/>
          <w:sz w:val="24"/>
          <w:szCs w:val="24"/>
        </w:rPr>
        <w:t>SV</w:t>
      </w:r>
      <w:r>
        <w:rPr>
          <w:rFonts w:eastAsia="楷体"/>
          <w:sz w:val="24"/>
          <w:szCs w:val="24"/>
        </w:rPr>
        <w:t>、</w:t>
      </w:r>
      <w:r>
        <w:rPr>
          <w:rFonts w:eastAsia="楷体"/>
          <w:sz w:val="24"/>
          <w:szCs w:val="24"/>
        </w:rPr>
        <w:t>CNV</w:t>
      </w:r>
      <w:r>
        <w:rPr>
          <w:rFonts w:eastAsia="楷体"/>
          <w:sz w:val="24"/>
          <w:szCs w:val="24"/>
        </w:rPr>
        <w:t>等多类型遗传变异的标准化数据库，覆盖当前牧草重要栽培种及野生资源。在此基础上，团队完成了</w:t>
      </w:r>
      <w:r>
        <w:rPr>
          <w:rFonts w:eastAsia="楷体"/>
          <w:sz w:val="24"/>
          <w:szCs w:val="24"/>
        </w:rPr>
        <w:t>10</w:t>
      </w:r>
      <w:r>
        <w:rPr>
          <w:rFonts w:eastAsia="楷体"/>
          <w:sz w:val="24"/>
          <w:szCs w:val="24"/>
        </w:rPr>
        <w:t>份代表性材料的图形泛基因组构建，系统揭示关键转录因子家族的扩张及其与牧草高产、抗逆等重要农艺性状的遗传关联</w:t>
      </w:r>
      <w:r>
        <w:rPr>
          <w:rFonts w:eastAsia="楷体" w:hint="eastAsia"/>
          <w:sz w:val="24"/>
          <w:szCs w:val="24"/>
        </w:rPr>
        <w:t>（</w:t>
      </w:r>
      <w:r>
        <w:rPr>
          <w:rFonts w:eastAsia="楷体" w:hint="eastAsia"/>
          <w:sz w:val="24"/>
          <w:szCs w:val="24"/>
        </w:rPr>
        <w:t xml:space="preserve">Yan et </w:t>
      </w:r>
      <w:r>
        <w:rPr>
          <w:rFonts w:eastAsia="楷体" w:hint="eastAsia"/>
          <w:sz w:val="24"/>
          <w:szCs w:val="24"/>
        </w:rPr>
        <w:t>al, Nature Genetics</w:t>
      </w:r>
      <w:r>
        <w:rPr>
          <w:rFonts w:eastAsia="楷体" w:hint="eastAsia"/>
          <w:sz w:val="24"/>
          <w:szCs w:val="24"/>
        </w:rPr>
        <w:t>）。</w:t>
      </w:r>
      <w:r>
        <w:rPr>
          <w:rFonts w:eastAsia="楷体"/>
          <w:sz w:val="24"/>
          <w:szCs w:val="24"/>
        </w:rPr>
        <w:t>针对复杂变异解析需求，团队建立了标准化的结构变异与调控区变异注释流程，系统识别与重要性状相关的功能变异区域。基于此，团队开发了集成</w:t>
      </w:r>
      <w:r>
        <w:rPr>
          <w:rFonts w:eastAsia="楷体"/>
          <w:sz w:val="24"/>
          <w:szCs w:val="24"/>
        </w:rPr>
        <w:t>Transformer</w:t>
      </w:r>
      <w:r>
        <w:rPr>
          <w:rFonts w:eastAsia="楷体"/>
          <w:sz w:val="24"/>
          <w:szCs w:val="24"/>
        </w:rPr>
        <w:t>、</w:t>
      </w:r>
      <w:r>
        <w:rPr>
          <w:rFonts w:eastAsia="楷体"/>
          <w:sz w:val="24"/>
          <w:szCs w:val="24"/>
        </w:rPr>
        <w:t>CNN</w:t>
      </w:r>
      <w:r>
        <w:rPr>
          <w:rFonts w:eastAsia="楷体"/>
          <w:sz w:val="24"/>
          <w:szCs w:val="24"/>
        </w:rPr>
        <w:t>和</w:t>
      </w:r>
      <w:r>
        <w:rPr>
          <w:rFonts w:eastAsia="楷体"/>
          <w:sz w:val="24"/>
          <w:szCs w:val="24"/>
        </w:rPr>
        <w:t>RNN</w:t>
      </w:r>
      <w:r>
        <w:rPr>
          <w:rFonts w:eastAsia="楷体"/>
          <w:sz w:val="24"/>
          <w:szCs w:val="24"/>
        </w:rPr>
        <w:t>架构的人工智能预测平台，实现对</w:t>
      </w:r>
      <w:r>
        <w:rPr>
          <w:rFonts w:eastAsia="楷体"/>
          <w:sz w:val="24"/>
          <w:szCs w:val="24"/>
        </w:rPr>
        <w:t>SNP/SV</w:t>
      </w:r>
      <w:r>
        <w:rPr>
          <w:rFonts w:eastAsia="楷体"/>
          <w:sz w:val="24"/>
          <w:szCs w:val="24"/>
        </w:rPr>
        <w:t>影响增强子</w:t>
      </w:r>
      <w:r>
        <w:rPr>
          <w:rFonts w:eastAsia="楷体"/>
          <w:sz w:val="24"/>
          <w:szCs w:val="24"/>
        </w:rPr>
        <w:t>-</w:t>
      </w:r>
      <w:r>
        <w:rPr>
          <w:rFonts w:eastAsia="楷体"/>
          <w:sz w:val="24"/>
          <w:szCs w:val="24"/>
        </w:rPr>
        <w:t>启动子互作、基因表达调控及表型变异的精准预测。搭建了多组学数据整合分析平台，融合</w:t>
      </w:r>
      <w:r>
        <w:rPr>
          <w:rFonts w:eastAsia="楷体"/>
          <w:sz w:val="24"/>
          <w:szCs w:val="24"/>
        </w:rPr>
        <w:t>ATAC-seq</w:t>
      </w:r>
      <w:r>
        <w:rPr>
          <w:rFonts w:eastAsia="楷体"/>
          <w:sz w:val="24"/>
          <w:szCs w:val="24"/>
        </w:rPr>
        <w:t>、</w:t>
      </w:r>
      <w:r>
        <w:rPr>
          <w:rFonts w:eastAsia="楷体"/>
          <w:sz w:val="24"/>
          <w:szCs w:val="24"/>
        </w:rPr>
        <w:t>Hi-C</w:t>
      </w:r>
      <w:r>
        <w:rPr>
          <w:rFonts w:eastAsia="楷体"/>
          <w:sz w:val="24"/>
          <w:szCs w:val="24"/>
        </w:rPr>
        <w:t>和</w:t>
      </w:r>
      <w:r>
        <w:rPr>
          <w:rFonts w:eastAsia="楷体"/>
          <w:sz w:val="24"/>
          <w:szCs w:val="24"/>
        </w:rPr>
        <w:t>RNA-seq</w:t>
      </w:r>
      <w:r>
        <w:rPr>
          <w:rFonts w:eastAsia="楷体"/>
          <w:sz w:val="24"/>
          <w:szCs w:val="24"/>
        </w:rPr>
        <w:t>等组学信息，解析基因组变异对靶基因时空表达模式的调控作用，完善了多品种牧草基因组功能注释体系，为后续分子设计育种和计算育种模型</w:t>
      </w:r>
      <w:r>
        <w:rPr>
          <w:rFonts w:eastAsia="楷体"/>
          <w:sz w:val="24"/>
          <w:szCs w:val="24"/>
        </w:rPr>
        <w:t>开发提供了高质量数据基础。</w:t>
      </w:r>
    </w:p>
    <w:p w14:paraId="63F12EF1" w14:textId="77777777" w:rsidR="00E85F48" w:rsidRDefault="00DE2CB8">
      <w:pPr>
        <w:widowControl/>
        <w:spacing w:line="440" w:lineRule="exact"/>
        <w:ind w:firstLine="420"/>
        <w:rPr>
          <w:rFonts w:eastAsia="楷体"/>
          <w:sz w:val="24"/>
          <w:szCs w:val="24"/>
        </w:rPr>
      </w:pPr>
      <w:r>
        <w:rPr>
          <w:rFonts w:eastAsia="楷体"/>
          <w:b/>
          <w:bCs/>
          <w:sz w:val="24"/>
          <w:szCs w:val="24"/>
        </w:rPr>
        <w:t>与本项目关联：</w:t>
      </w:r>
      <w:r>
        <w:rPr>
          <w:rFonts w:eastAsia="楷体"/>
          <w:sz w:val="24"/>
          <w:szCs w:val="24"/>
        </w:rPr>
        <w:t>团队构建的多品种牧草基因组变异数据库将直接用于本项目的变异数据分析；开发的变异功能预测平台为本项目远端调控元件的识别与功能预测提供了技术支持；多组学数据整合分析平台将支持本项目构建融合</w:t>
      </w:r>
      <w:r>
        <w:rPr>
          <w:rFonts w:eastAsia="楷体"/>
          <w:sz w:val="24"/>
          <w:szCs w:val="24"/>
        </w:rPr>
        <w:t>GWAS</w:t>
      </w:r>
      <w:r>
        <w:rPr>
          <w:rFonts w:eastAsia="楷体"/>
          <w:sz w:val="24"/>
          <w:szCs w:val="24"/>
        </w:rPr>
        <w:t>、</w:t>
      </w:r>
      <w:r>
        <w:rPr>
          <w:rFonts w:eastAsia="楷体"/>
          <w:sz w:val="24"/>
          <w:szCs w:val="24"/>
        </w:rPr>
        <w:t>Hi-C</w:t>
      </w:r>
      <w:r>
        <w:rPr>
          <w:rFonts w:eastAsia="楷体"/>
          <w:sz w:val="24"/>
          <w:szCs w:val="24"/>
        </w:rPr>
        <w:t>、</w:t>
      </w:r>
      <w:r>
        <w:rPr>
          <w:rFonts w:eastAsia="楷体"/>
          <w:sz w:val="24"/>
          <w:szCs w:val="24"/>
        </w:rPr>
        <w:t>RNA-seq</w:t>
      </w:r>
      <w:r>
        <w:rPr>
          <w:rFonts w:eastAsia="楷体"/>
          <w:sz w:val="24"/>
          <w:szCs w:val="24"/>
        </w:rPr>
        <w:t>及田间表型数据的智能计算平台。</w:t>
      </w:r>
    </w:p>
    <w:p w14:paraId="36A2C49E" w14:textId="112CA4C8" w:rsidR="00E85F48" w:rsidRDefault="00E85F48">
      <w:pPr>
        <w:widowControl/>
        <w:spacing w:line="360" w:lineRule="auto"/>
        <w:jc w:val="center"/>
        <w:rPr>
          <w:rFonts w:eastAsia="楷体"/>
          <w:sz w:val="24"/>
          <w:szCs w:val="24"/>
        </w:rPr>
      </w:pPr>
    </w:p>
    <w:p w14:paraId="1D5DBEE9" w14:textId="77777777" w:rsidR="00E85F48" w:rsidRDefault="00DE2CB8">
      <w:pPr>
        <w:spacing w:line="360" w:lineRule="auto"/>
        <w:jc w:val="center"/>
        <w:rPr>
          <w:rFonts w:eastAsia="楷体"/>
          <w:sz w:val="24"/>
          <w:szCs w:val="24"/>
        </w:rPr>
      </w:pPr>
      <w:r>
        <w:rPr>
          <w:rFonts w:eastAsia="楷体"/>
          <w:sz w:val="24"/>
          <w:szCs w:val="24"/>
        </w:rPr>
        <w:t>图</w:t>
      </w:r>
      <w:r>
        <w:rPr>
          <w:rFonts w:eastAsia="楷体"/>
          <w:sz w:val="24"/>
          <w:szCs w:val="24"/>
        </w:rPr>
        <w:t>7</w:t>
      </w:r>
      <w:r>
        <w:rPr>
          <w:rFonts w:eastAsia="楷体" w:hint="eastAsia"/>
          <w:sz w:val="24"/>
          <w:szCs w:val="24"/>
        </w:rPr>
        <w:t>.</w:t>
      </w:r>
      <w:r>
        <w:rPr>
          <w:rFonts w:eastAsia="楷体"/>
          <w:sz w:val="24"/>
          <w:szCs w:val="24"/>
        </w:rPr>
        <w:t xml:space="preserve"> </w:t>
      </w:r>
      <w:r>
        <w:rPr>
          <w:rFonts w:eastAsia="楷体"/>
          <w:sz w:val="24"/>
          <w:szCs w:val="24"/>
        </w:rPr>
        <w:t>牧草</w:t>
      </w:r>
      <w:r>
        <w:rPr>
          <w:rFonts w:eastAsia="楷体"/>
          <w:sz w:val="24"/>
          <w:szCs w:val="24"/>
        </w:rPr>
        <w:t>SNP</w:t>
      </w:r>
      <w:r>
        <w:rPr>
          <w:rFonts w:eastAsia="楷体"/>
          <w:sz w:val="24"/>
          <w:szCs w:val="24"/>
        </w:rPr>
        <w:t>、</w:t>
      </w:r>
      <w:r>
        <w:rPr>
          <w:rFonts w:eastAsia="楷体"/>
          <w:sz w:val="24"/>
          <w:szCs w:val="24"/>
        </w:rPr>
        <w:t>SV</w:t>
      </w:r>
      <w:r>
        <w:rPr>
          <w:rFonts w:eastAsia="楷体"/>
          <w:sz w:val="24"/>
          <w:szCs w:val="24"/>
        </w:rPr>
        <w:t>、</w:t>
      </w:r>
      <w:r>
        <w:rPr>
          <w:rFonts w:eastAsia="楷体"/>
          <w:sz w:val="24"/>
          <w:szCs w:val="24"/>
        </w:rPr>
        <w:t>CNV</w:t>
      </w:r>
      <w:r>
        <w:rPr>
          <w:rFonts w:eastAsia="楷体"/>
          <w:sz w:val="24"/>
          <w:szCs w:val="24"/>
        </w:rPr>
        <w:t>变异数据库</w:t>
      </w:r>
    </w:p>
    <w:p w14:paraId="3071BE7F" w14:textId="77777777" w:rsidR="00E85F48" w:rsidRDefault="00DE2CB8">
      <w:pPr>
        <w:widowControl/>
        <w:spacing w:line="440" w:lineRule="exact"/>
        <w:rPr>
          <w:rFonts w:eastAsia="楷体"/>
          <w:sz w:val="24"/>
          <w:szCs w:val="24"/>
        </w:rPr>
      </w:pPr>
      <w:r>
        <w:rPr>
          <w:rFonts w:eastAsia="楷体"/>
          <w:sz w:val="24"/>
          <w:szCs w:val="24"/>
        </w:rPr>
        <w:lastRenderedPageBreak/>
        <w:t>（</w:t>
      </w:r>
      <w:r>
        <w:rPr>
          <w:rFonts w:eastAsia="楷体"/>
          <w:sz w:val="24"/>
          <w:szCs w:val="24"/>
        </w:rPr>
        <w:t>3</w:t>
      </w:r>
      <w:r>
        <w:rPr>
          <w:rFonts w:eastAsia="楷体"/>
          <w:sz w:val="24"/>
          <w:szCs w:val="24"/>
        </w:rPr>
        <w:t>）计算育种新方法探索与实践</w:t>
      </w:r>
      <w:r>
        <w:rPr>
          <w:rFonts w:eastAsia="楷体"/>
          <w:sz w:val="24"/>
          <w:szCs w:val="24"/>
        </w:rPr>
        <w:t xml:space="preserve">  </w:t>
      </w:r>
    </w:p>
    <w:p w14:paraId="16A5DD6A" w14:textId="77777777" w:rsidR="00E85F48" w:rsidRDefault="00DE2CB8">
      <w:pPr>
        <w:widowControl/>
        <w:spacing w:line="440" w:lineRule="exact"/>
        <w:ind w:firstLine="420"/>
        <w:rPr>
          <w:rFonts w:eastAsia="楷体"/>
          <w:sz w:val="24"/>
          <w:szCs w:val="24"/>
        </w:rPr>
      </w:pPr>
      <w:r>
        <w:rPr>
          <w:rFonts w:eastAsia="楷体"/>
          <w:sz w:val="24"/>
          <w:szCs w:val="24"/>
        </w:rPr>
        <w:t>团队面向西南地区特色果树中国樱桃，系统开展了栽培类群起源与驯化、系统演化及多倍体形成机制研究，奠定了计算育种方法开发与应用的基础。通过大规模群体基因组测序与系统进化分析，首次构建了樱桃类群系统发生树与中国樱桃栽培地理起源模式图，明确了中国樱桃起源于四川龙门山地震带野生群体，揭示了中国樱桃与欧洲甜樱桃的地理传播路径和系统演化关系。团队进一步解析了</w:t>
      </w:r>
      <w:r>
        <w:rPr>
          <w:rFonts w:eastAsia="楷体"/>
          <w:sz w:val="24"/>
          <w:szCs w:val="24"/>
        </w:rPr>
        <w:t>5</w:t>
      </w:r>
      <w:r>
        <w:rPr>
          <w:rFonts w:eastAsia="楷体"/>
          <w:sz w:val="24"/>
          <w:szCs w:val="24"/>
        </w:rPr>
        <w:t>个樱桃栽培种的系统演化过程及多倍体形成机制，揭示了栽培中国樱桃多倍体产生的可能路径，为复杂性状遗传改良提供了理论依据。并依托构建的高质量群体基因组、表型组和</w:t>
      </w:r>
      <w:proofErr w:type="gramStart"/>
      <w:r>
        <w:rPr>
          <w:rFonts w:eastAsia="楷体"/>
          <w:sz w:val="24"/>
          <w:szCs w:val="24"/>
        </w:rPr>
        <w:t>代谢组</w:t>
      </w:r>
      <w:proofErr w:type="gramEnd"/>
      <w:r>
        <w:rPr>
          <w:rFonts w:eastAsia="楷体"/>
          <w:sz w:val="24"/>
          <w:szCs w:val="24"/>
        </w:rPr>
        <w:t>数</w:t>
      </w:r>
      <w:r>
        <w:rPr>
          <w:rFonts w:eastAsia="楷体"/>
          <w:sz w:val="24"/>
          <w:szCs w:val="24"/>
        </w:rPr>
        <w:t>据，团队整合多组学信息，建立了樱桃遗传资源数据库和高通量表型分析系统，为计算育种方法开发提供了数据支撑。基于上述资源，团队探索应用图神经网络（</w:t>
      </w:r>
      <w:r>
        <w:rPr>
          <w:rFonts w:eastAsia="楷体"/>
          <w:sz w:val="24"/>
          <w:szCs w:val="24"/>
        </w:rPr>
        <w:t>GNN</w:t>
      </w:r>
      <w:r>
        <w:rPr>
          <w:rFonts w:eastAsia="楷体"/>
          <w:sz w:val="24"/>
          <w:szCs w:val="24"/>
        </w:rPr>
        <w:t>）和多目标优化算法，开展樱桃优异性状基因挖掘与基因型组合预测，率先实现了对樱桃多倍体材料复杂性状的智能筛选和分子设计，初步验证了计算育种新方法在樱桃育种中的可行性与有效性。</w:t>
      </w:r>
    </w:p>
    <w:p w14:paraId="742BE5B9" w14:textId="77777777" w:rsidR="00E85F48" w:rsidRDefault="00DE2CB8">
      <w:pPr>
        <w:widowControl/>
        <w:spacing w:line="440" w:lineRule="exact"/>
        <w:ind w:firstLine="420"/>
        <w:rPr>
          <w:rFonts w:eastAsia="楷体"/>
          <w:sz w:val="24"/>
          <w:szCs w:val="24"/>
        </w:rPr>
      </w:pPr>
      <w:r>
        <w:rPr>
          <w:rFonts w:eastAsia="楷体"/>
          <w:b/>
          <w:bCs/>
          <w:sz w:val="24"/>
          <w:szCs w:val="24"/>
        </w:rPr>
        <w:t>与本项目关联：</w:t>
      </w:r>
      <w:r>
        <w:rPr>
          <w:rFonts w:eastAsia="楷体"/>
          <w:sz w:val="24"/>
          <w:szCs w:val="24"/>
        </w:rPr>
        <w:t>团队在中国樱桃复杂性状遗传解析与计算育种方法开发方面积累了坚实基础。通过群体基因组测序与系统进化分析，明确了樱桃起源与多倍体形成机制，构建了高质量群体基因组、表型组和</w:t>
      </w:r>
      <w:proofErr w:type="gramStart"/>
      <w:r>
        <w:rPr>
          <w:rFonts w:eastAsia="楷体"/>
          <w:sz w:val="24"/>
          <w:szCs w:val="24"/>
        </w:rPr>
        <w:t>代谢组</w:t>
      </w:r>
      <w:proofErr w:type="gramEnd"/>
      <w:r>
        <w:rPr>
          <w:rFonts w:eastAsia="楷体"/>
          <w:sz w:val="24"/>
          <w:szCs w:val="24"/>
        </w:rPr>
        <w:t>数据</w:t>
      </w:r>
      <w:r>
        <w:rPr>
          <w:rFonts w:eastAsia="楷体"/>
          <w:sz w:val="24"/>
          <w:szCs w:val="24"/>
        </w:rPr>
        <w:t>资源，建立了樱桃遗传资源数据库和高通量表型分析系统。依托图神经网络（</w:t>
      </w:r>
      <w:r>
        <w:rPr>
          <w:rFonts w:eastAsia="楷体"/>
          <w:sz w:val="24"/>
          <w:szCs w:val="24"/>
        </w:rPr>
        <w:t>GNN</w:t>
      </w:r>
      <w:r>
        <w:rPr>
          <w:rFonts w:eastAsia="楷体"/>
          <w:sz w:val="24"/>
          <w:szCs w:val="24"/>
        </w:rPr>
        <w:t>）和多目标优化算法，实现了复杂性状优异基因挖掘与基因型组合预测，初步验证了计算育种方法的有效性。上述研究为本项目开展牧草多类型遗传变异识别、远端调控机制解析及基于人工智能的精准育种体系构建提供了重要理论基础和技术支撑。</w:t>
      </w:r>
    </w:p>
    <w:p w14:paraId="5318EF94" w14:textId="78BA34BD" w:rsidR="00E85F48" w:rsidRDefault="00E85F48">
      <w:pPr>
        <w:widowControl/>
        <w:spacing w:line="360" w:lineRule="auto"/>
        <w:jc w:val="center"/>
        <w:rPr>
          <w:sz w:val="24"/>
          <w:szCs w:val="24"/>
        </w:rPr>
      </w:pPr>
    </w:p>
    <w:p w14:paraId="7EABE6E4" w14:textId="77777777" w:rsidR="00E85F48" w:rsidRDefault="00DE2CB8">
      <w:pPr>
        <w:spacing w:line="360" w:lineRule="auto"/>
        <w:jc w:val="center"/>
        <w:rPr>
          <w:rFonts w:eastAsia="楷体"/>
          <w:sz w:val="24"/>
          <w:szCs w:val="24"/>
        </w:rPr>
      </w:pPr>
      <w:r>
        <w:rPr>
          <w:rFonts w:eastAsia="楷体"/>
          <w:sz w:val="24"/>
          <w:szCs w:val="24"/>
        </w:rPr>
        <w:t>图</w:t>
      </w:r>
      <w:r>
        <w:rPr>
          <w:rFonts w:eastAsia="楷体"/>
          <w:sz w:val="24"/>
          <w:szCs w:val="24"/>
        </w:rPr>
        <w:t>8</w:t>
      </w:r>
      <w:r>
        <w:rPr>
          <w:rFonts w:eastAsia="楷体" w:hint="eastAsia"/>
          <w:sz w:val="24"/>
          <w:szCs w:val="24"/>
        </w:rPr>
        <w:t>.</w:t>
      </w:r>
      <w:r>
        <w:rPr>
          <w:rFonts w:eastAsia="楷体"/>
          <w:sz w:val="24"/>
          <w:szCs w:val="24"/>
        </w:rPr>
        <w:t xml:space="preserve"> </w:t>
      </w:r>
      <w:r>
        <w:rPr>
          <w:rFonts w:eastAsia="楷体"/>
          <w:sz w:val="24"/>
          <w:szCs w:val="24"/>
        </w:rPr>
        <w:t>樱桃多倍体材料复杂性状的智能筛选</w:t>
      </w:r>
    </w:p>
    <w:permEnd w:id="823481797"/>
    <w:p w14:paraId="23C5A8C6" w14:textId="77777777" w:rsidR="00E85F48" w:rsidRDefault="00DE2CB8">
      <w:pPr>
        <w:snapToGrid w:val="0"/>
        <w:spacing w:line="440" w:lineRule="exact"/>
        <w:ind w:firstLine="570"/>
        <w:rPr>
          <w:rFonts w:ascii="楷体" w:eastAsia="楷体" w:hAnsi="楷体" w:cs="楷体_GB2312"/>
          <w:color w:val="0070C0"/>
          <w:sz w:val="28"/>
          <w:szCs w:val="28"/>
        </w:rPr>
      </w:pPr>
      <w:r>
        <w:rPr>
          <w:rFonts w:ascii="楷体" w:eastAsia="楷体" w:hAnsi="楷体"/>
          <w:color w:val="0070C0"/>
          <w:sz w:val="28"/>
          <w:szCs w:val="28"/>
        </w:rPr>
        <w:t>2</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工作条件</w:t>
      </w:r>
      <w:r>
        <w:rPr>
          <w:rFonts w:ascii="楷体" w:eastAsia="楷体" w:hAnsi="楷体" w:cs="楷体_GB2312" w:hint="eastAsia"/>
          <w:color w:val="0070C0"/>
          <w:sz w:val="28"/>
          <w:szCs w:val="28"/>
        </w:rPr>
        <w:t>（包括已具备的实验条件，尚缺少的实验条件和拟解决的途径，包括利用国家实验室、全国重点实验室和部门重点实验室等研究基地的计划与落实情况）；</w:t>
      </w:r>
    </w:p>
    <w:p w14:paraId="70E875CA" w14:textId="77777777" w:rsidR="00E85F48" w:rsidRDefault="00DE2CB8">
      <w:pPr>
        <w:widowControl/>
        <w:spacing w:line="440" w:lineRule="exact"/>
        <w:ind w:firstLineChars="200" w:firstLine="480"/>
        <w:rPr>
          <w:rFonts w:eastAsia="楷体"/>
          <w:sz w:val="24"/>
          <w:szCs w:val="24"/>
        </w:rPr>
      </w:pPr>
      <w:permStart w:id="1587421037" w:edGrp="everyone"/>
      <w:r>
        <w:rPr>
          <w:rFonts w:eastAsia="楷体"/>
          <w:sz w:val="24"/>
          <w:szCs w:val="24"/>
        </w:rPr>
        <w:t>四川农业大学是一所以生</w:t>
      </w:r>
      <w:r>
        <w:rPr>
          <w:rFonts w:eastAsia="楷体"/>
          <w:sz w:val="24"/>
          <w:szCs w:val="24"/>
        </w:rPr>
        <w:t>物科技为特色，农业科技为优势，多学科协调发展的国家</w:t>
      </w:r>
      <w:r>
        <w:rPr>
          <w:rFonts w:eastAsia="楷体" w:hint="eastAsia"/>
          <w:sz w:val="24"/>
          <w:szCs w:val="24"/>
        </w:rPr>
        <w:t>“</w:t>
      </w:r>
      <w:r>
        <w:rPr>
          <w:rFonts w:eastAsia="楷体"/>
          <w:sz w:val="24"/>
          <w:szCs w:val="24"/>
        </w:rPr>
        <w:t xml:space="preserve">211 </w:t>
      </w:r>
      <w:r>
        <w:rPr>
          <w:rFonts w:eastAsia="楷体"/>
          <w:sz w:val="24"/>
          <w:szCs w:val="24"/>
        </w:rPr>
        <w:t>工程</w:t>
      </w:r>
      <w:r>
        <w:rPr>
          <w:rFonts w:eastAsia="楷体" w:hint="eastAsia"/>
          <w:sz w:val="24"/>
          <w:szCs w:val="24"/>
        </w:rPr>
        <w:t>”</w:t>
      </w:r>
      <w:r>
        <w:rPr>
          <w:rFonts w:eastAsia="楷体"/>
          <w:sz w:val="24"/>
          <w:szCs w:val="24"/>
        </w:rPr>
        <w:t>重点建设大学和国家</w:t>
      </w:r>
      <w:r>
        <w:rPr>
          <w:rFonts w:eastAsia="楷体" w:hint="eastAsia"/>
          <w:sz w:val="24"/>
          <w:szCs w:val="24"/>
        </w:rPr>
        <w:t>“</w:t>
      </w:r>
      <w:r>
        <w:rPr>
          <w:rFonts w:eastAsia="楷体"/>
          <w:sz w:val="24"/>
          <w:szCs w:val="24"/>
        </w:rPr>
        <w:t>双一流</w:t>
      </w:r>
      <w:r>
        <w:rPr>
          <w:rFonts w:eastAsia="楷体" w:hint="eastAsia"/>
          <w:sz w:val="24"/>
          <w:szCs w:val="24"/>
        </w:rPr>
        <w:t>”</w:t>
      </w:r>
      <w:r>
        <w:rPr>
          <w:rFonts w:eastAsia="楷体"/>
          <w:sz w:val="24"/>
          <w:szCs w:val="24"/>
        </w:rPr>
        <w:t>建设高校，本项目依托四川农业大学西南作物基因资源发掘与利用国家重点实验室和四川农业大学高性能计算平台</w:t>
      </w:r>
      <w:r>
        <w:rPr>
          <w:rFonts w:eastAsia="楷体" w:hint="eastAsia"/>
          <w:sz w:val="24"/>
          <w:szCs w:val="24"/>
        </w:rPr>
        <w:t>，多年的交叉研究积累形成了</w:t>
      </w:r>
      <w:proofErr w:type="gramStart"/>
      <w:r>
        <w:rPr>
          <w:rFonts w:eastAsia="楷体" w:hint="eastAsia"/>
          <w:sz w:val="24"/>
          <w:szCs w:val="24"/>
        </w:rPr>
        <w:t>以</w:t>
      </w:r>
      <w:r>
        <w:rPr>
          <w:rFonts w:ascii="楷体" w:eastAsia="楷体" w:hAnsi="楷体" w:hint="eastAsia"/>
          <w:b/>
          <w:bCs/>
          <w:sz w:val="24"/>
          <w:szCs w:val="24"/>
        </w:rPr>
        <w:t>钦鹏</w:t>
      </w:r>
      <w:proofErr w:type="gramEnd"/>
      <w:r>
        <w:rPr>
          <w:rFonts w:ascii="楷体" w:eastAsia="楷体" w:hAnsi="楷体" w:hint="eastAsia"/>
          <w:b/>
          <w:bCs/>
          <w:sz w:val="24"/>
          <w:szCs w:val="24"/>
        </w:rPr>
        <w:t>教授（国家杰青</w:t>
      </w:r>
      <w:r>
        <w:rPr>
          <w:rFonts w:ascii="楷体" w:eastAsia="楷体" w:hAnsi="楷体" w:hint="eastAsia"/>
          <w:sz w:val="24"/>
          <w:szCs w:val="24"/>
        </w:rPr>
        <w:t>）、</w:t>
      </w:r>
      <w:r>
        <w:rPr>
          <w:rFonts w:ascii="楷体" w:eastAsia="楷体" w:hAnsi="楷体" w:hint="eastAsia"/>
          <w:b/>
          <w:bCs/>
          <w:sz w:val="24"/>
          <w:szCs w:val="24"/>
        </w:rPr>
        <w:t>黄琳凯教授（教育部青年长江）</w:t>
      </w:r>
      <w:r>
        <w:rPr>
          <w:rFonts w:ascii="楷体" w:eastAsia="楷体" w:hAnsi="楷体" w:hint="eastAsia"/>
          <w:sz w:val="24"/>
          <w:szCs w:val="24"/>
        </w:rPr>
        <w:t>、</w:t>
      </w:r>
      <w:r>
        <w:rPr>
          <w:rFonts w:ascii="楷体" w:eastAsia="楷体" w:hAnsi="楷体" w:hint="eastAsia"/>
          <w:b/>
          <w:bCs/>
          <w:sz w:val="24"/>
          <w:szCs w:val="24"/>
        </w:rPr>
        <w:t>严海东教授（海外优青）</w:t>
      </w:r>
      <w:r>
        <w:rPr>
          <w:rFonts w:eastAsia="楷体" w:hint="eastAsia"/>
          <w:sz w:val="24"/>
          <w:szCs w:val="24"/>
        </w:rPr>
        <w:t>以及申请人为核心成员的“</w:t>
      </w:r>
      <w:r>
        <w:rPr>
          <w:rFonts w:eastAsia="楷体"/>
          <w:sz w:val="24"/>
          <w:szCs w:val="24"/>
        </w:rPr>
        <w:t>功能生物材料与分析新方法</w:t>
      </w:r>
      <w:r>
        <w:rPr>
          <w:rFonts w:eastAsia="楷体" w:hint="eastAsia"/>
          <w:sz w:val="24"/>
          <w:szCs w:val="24"/>
        </w:rPr>
        <w:t>”</w:t>
      </w:r>
      <w:r>
        <w:rPr>
          <w:rFonts w:eastAsia="楷体"/>
          <w:sz w:val="24"/>
          <w:szCs w:val="24"/>
        </w:rPr>
        <w:t>学科培育创新团队</w:t>
      </w:r>
      <w:r>
        <w:rPr>
          <w:rFonts w:eastAsia="楷体" w:hint="eastAsia"/>
          <w:sz w:val="24"/>
          <w:szCs w:val="24"/>
        </w:rPr>
        <w:t>，</w:t>
      </w:r>
      <w:r>
        <w:rPr>
          <w:rFonts w:eastAsia="楷体"/>
          <w:sz w:val="24"/>
          <w:szCs w:val="24"/>
        </w:rPr>
        <w:t>深度融合人工智能、生物信息学与功能材料科学三</w:t>
      </w:r>
      <w:r>
        <w:rPr>
          <w:rFonts w:eastAsia="楷体"/>
          <w:sz w:val="24"/>
          <w:szCs w:val="24"/>
        </w:rPr>
        <w:lastRenderedPageBreak/>
        <w:t>大前沿领域，构建了独具特色的</w:t>
      </w:r>
      <w:r>
        <w:rPr>
          <w:rFonts w:eastAsia="楷体" w:hint="eastAsia"/>
          <w:sz w:val="24"/>
          <w:szCs w:val="24"/>
        </w:rPr>
        <w:t>“</w:t>
      </w:r>
      <w:r>
        <w:rPr>
          <w:rFonts w:eastAsia="楷体"/>
          <w:sz w:val="24"/>
          <w:szCs w:val="24"/>
        </w:rPr>
        <w:t>智能传感</w:t>
      </w:r>
      <w:r>
        <w:rPr>
          <w:rFonts w:eastAsia="楷体"/>
          <w:sz w:val="24"/>
          <w:szCs w:val="24"/>
        </w:rPr>
        <w:t>-</w:t>
      </w:r>
      <w:r>
        <w:rPr>
          <w:rFonts w:eastAsia="楷体"/>
          <w:sz w:val="24"/>
          <w:szCs w:val="24"/>
        </w:rPr>
        <w:t>大数据分析</w:t>
      </w:r>
      <w:r>
        <w:rPr>
          <w:rFonts w:eastAsia="楷体"/>
          <w:sz w:val="24"/>
          <w:szCs w:val="24"/>
        </w:rPr>
        <w:t>-</w:t>
      </w:r>
      <w:r>
        <w:rPr>
          <w:rFonts w:eastAsia="楷体"/>
          <w:sz w:val="24"/>
          <w:szCs w:val="24"/>
        </w:rPr>
        <w:t>分子育种</w:t>
      </w:r>
      <w:r>
        <w:rPr>
          <w:rFonts w:eastAsia="楷体" w:hint="eastAsia"/>
          <w:sz w:val="24"/>
          <w:szCs w:val="24"/>
        </w:rPr>
        <w:t>”</w:t>
      </w:r>
      <w:r>
        <w:rPr>
          <w:rFonts w:eastAsia="楷体"/>
          <w:sz w:val="24"/>
          <w:szCs w:val="24"/>
        </w:rPr>
        <w:t>全链条创新体系。团队近年来在荧光分子探针设计与智能传感系统开发领域取得突破性进展，创新性构建了基于智能手机的光</w:t>
      </w:r>
      <w:r>
        <w:rPr>
          <w:rFonts w:eastAsia="楷体"/>
          <w:sz w:val="24"/>
          <w:szCs w:val="24"/>
        </w:rPr>
        <w:t>/</w:t>
      </w:r>
      <w:r>
        <w:rPr>
          <w:rFonts w:eastAsia="楷体"/>
          <w:sz w:val="24"/>
          <w:szCs w:val="24"/>
        </w:rPr>
        <w:t>电学传感平台，成功实现了金属离子、农药残留及生物大分子的精准检测，相关成果已形成从材料合成、机理研究到设备集成的</w:t>
      </w:r>
      <w:proofErr w:type="gramStart"/>
      <w:r>
        <w:rPr>
          <w:rFonts w:eastAsia="楷体"/>
          <w:sz w:val="24"/>
          <w:szCs w:val="24"/>
        </w:rPr>
        <w:t>完整技术</w:t>
      </w:r>
      <w:proofErr w:type="gramEnd"/>
      <w:r>
        <w:rPr>
          <w:rFonts w:eastAsia="楷体"/>
          <w:sz w:val="24"/>
          <w:szCs w:val="24"/>
        </w:rPr>
        <w:t>体系。</w:t>
      </w:r>
    </w:p>
    <w:p w14:paraId="20FBB9A0" w14:textId="77777777" w:rsidR="00E85F48" w:rsidRDefault="00DE2CB8">
      <w:pPr>
        <w:widowControl/>
        <w:spacing w:line="440" w:lineRule="exact"/>
        <w:rPr>
          <w:rFonts w:eastAsia="楷体"/>
          <w:sz w:val="24"/>
          <w:szCs w:val="24"/>
        </w:rPr>
      </w:pPr>
      <w:r>
        <w:rPr>
          <w:rFonts w:eastAsia="楷体" w:hint="eastAsia"/>
          <w:sz w:val="24"/>
          <w:szCs w:val="24"/>
        </w:rPr>
        <w:t>（</w:t>
      </w:r>
      <w:r>
        <w:rPr>
          <w:rFonts w:eastAsia="楷体" w:hint="eastAsia"/>
          <w:sz w:val="24"/>
          <w:szCs w:val="24"/>
        </w:rPr>
        <w:t>1</w:t>
      </w:r>
      <w:r>
        <w:rPr>
          <w:rFonts w:eastAsia="楷体" w:hint="eastAsia"/>
          <w:sz w:val="24"/>
          <w:szCs w:val="24"/>
        </w:rPr>
        <w:t>）基础工作条件</w:t>
      </w:r>
    </w:p>
    <w:p w14:paraId="740CF0AF" w14:textId="77777777" w:rsidR="00E85F48" w:rsidRDefault="00DE2CB8">
      <w:pPr>
        <w:widowControl/>
        <w:spacing w:line="440" w:lineRule="exact"/>
        <w:ind w:firstLineChars="200" w:firstLine="480"/>
        <w:rPr>
          <w:rFonts w:eastAsia="楷体"/>
          <w:sz w:val="24"/>
          <w:szCs w:val="24"/>
        </w:rPr>
      </w:pPr>
      <w:r>
        <w:rPr>
          <w:rFonts w:eastAsia="楷体" w:hint="eastAsia"/>
          <w:sz w:val="24"/>
          <w:szCs w:val="24"/>
        </w:rPr>
        <w:t>项目依托高水平、标准化的实验平台，配备有全自动纤维测定仪、植物根系生长监测系统、酶标仪（</w:t>
      </w:r>
      <w:proofErr w:type="gramStart"/>
      <w:r>
        <w:rPr>
          <w:rFonts w:eastAsia="楷体" w:hint="eastAsia"/>
          <w:sz w:val="24"/>
          <w:szCs w:val="24"/>
        </w:rPr>
        <w:t>读板机</w:t>
      </w:r>
      <w:proofErr w:type="gramEnd"/>
      <w:r>
        <w:rPr>
          <w:rFonts w:eastAsia="楷体" w:hint="eastAsia"/>
          <w:sz w:val="24"/>
          <w:szCs w:val="24"/>
        </w:rPr>
        <w:t>）、全自动</w:t>
      </w:r>
      <w:proofErr w:type="gramStart"/>
      <w:r>
        <w:rPr>
          <w:rFonts w:eastAsia="楷体" w:hint="eastAsia"/>
          <w:sz w:val="24"/>
          <w:szCs w:val="24"/>
        </w:rPr>
        <w:t>凯氏定氮仪</w:t>
      </w:r>
      <w:proofErr w:type="gramEnd"/>
      <w:r>
        <w:rPr>
          <w:rFonts w:eastAsia="楷体" w:hint="eastAsia"/>
          <w:sz w:val="24"/>
          <w:szCs w:val="24"/>
        </w:rPr>
        <w:t>、碳氮磷全自动分析仪、核酸蛋白定量检测仪、</w:t>
      </w:r>
      <w:proofErr w:type="gramStart"/>
      <w:r>
        <w:rPr>
          <w:rFonts w:eastAsia="楷体" w:hint="eastAsia"/>
          <w:sz w:val="24"/>
          <w:szCs w:val="24"/>
        </w:rPr>
        <w:t>质构仪</w:t>
      </w:r>
      <w:proofErr w:type="gramEnd"/>
      <w:r>
        <w:rPr>
          <w:rFonts w:eastAsia="楷体" w:hint="eastAsia"/>
          <w:sz w:val="24"/>
          <w:szCs w:val="24"/>
        </w:rPr>
        <w:t>等在内的大中型高精度仪器设备</w:t>
      </w:r>
      <w:r>
        <w:rPr>
          <w:rFonts w:eastAsia="楷体" w:hint="eastAsia"/>
          <w:sz w:val="24"/>
          <w:szCs w:val="24"/>
        </w:rPr>
        <w:t>50</w:t>
      </w:r>
      <w:r>
        <w:rPr>
          <w:rFonts w:eastAsia="楷体" w:hint="eastAsia"/>
          <w:sz w:val="24"/>
          <w:szCs w:val="24"/>
        </w:rPr>
        <w:t>余台（套）。平台涵盖分子生物学分析、基因组测序、功能基因验</w:t>
      </w:r>
      <w:r>
        <w:rPr>
          <w:rFonts w:eastAsia="楷体" w:hint="eastAsia"/>
          <w:sz w:val="24"/>
          <w:szCs w:val="24"/>
        </w:rPr>
        <w:t>证、表型精准测定等关键实验环节，具备高通量、高灵敏度和智能化的数据采集、处理及分析能力。实验环境规范，操作流程标准，能够满足大规模多组学数据采集、整合与深度挖掘分析需求。为本项目开展基因功能解析、作物分子育种以及复杂性状遗传基础研究提供系统化、专业化的技术支撑。平台资源共享机制完善，具备持续服务与保障能力，有效提升项目实施的科研效率和成果产出水平，</w:t>
      </w:r>
      <w:r>
        <w:rPr>
          <w:rFonts w:eastAsia="楷体"/>
          <w:sz w:val="24"/>
          <w:szCs w:val="24"/>
        </w:rPr>
        <w:t>全面提升项目研发效率与成果转化能力。</w:t>
      </w:r>
    </w:p>
    <w:p w14:paraId="2F7A674E" w14:textId="77777777" w:rsidR="00E85F48" w:rsidRDefault="00DE2CB8">
      <w:pPr>
        <w:widowControl/>
        <w:spacing w:line="440" w:lineRule="exact"/>
        <w:rPr>
          <w:rFonts w:eastAsia="楷体"/>
          <w:sz w:val="24"/>
          <w:szCs w:val="24"/>
        </w:rPr>
      </w:pPr>
      <w:r>
        <w:rPr>
          <w:rFonts w:eastAsia="楷体" w:hint="eastAsia"/>
          <w:sz w:val="24"/>
          <w:szCs w:val="24"/>
        </w:rPr>
        <w:t>（</w:t>
      </w:r>
      <w:r>
        <w:rPr>
          <w:rFonts w:eastAsia="楷体" w:hint="eastAsia"/>
          <w:sz w:val="24"/>
          <w:szCs w:val="24"/>
        </w:rPr>
        <w:t>2</w:t>
      </w:r>
      <w:r>
        <w:rPr>
          <w:rFonts w:eastAsia="楷体" w:hint="eastAsia"/>
          <w:sz w:val="24"/>
          <w:szCs w:val="24"/>
        </w:rPr>
        <w:t>）高性能计算平台</w:t>
      </w:r>
    </w:p>
    <w:p w14:paraId="0A347126" w14:textId="65610B8B" w:rsidR="007230E8" w:rsidRDefault="007230E8">
      <w:pPr>
        <w:widowControl/>
        <w:spacing w:line="440" w:lineRule="exact"/>
        <w:ind w:firstLineChars="200" w:firstLine="480"/>
        <w:rPr>
          <w:rFonts w:eastAsia="楷体"/>
          <w:sz w:val="24"/>
          <w:szCs w:val="24"/>
        </w:rPr>
      </w:pPr>
      <w:r w:rsidRPr="007230E8">
        <w:rPr>
          <w:rFonts w:eastAsia="楷体" w:hint="eastAsia"/>
          <w:sz w:val="24"/>
          <w:szCs w:val="24"/>
        </w:rPr>
        <w:t>同时，平台还拥有规模宏大、性能卓越的高性能计算</w:t>
      </w:r>
      <w:r>
        <w:rPr>
          <w:rFonts w:eastAsia="楷体" w:hint="eastAsia"/>
          <w:sz w:val="24"/>
          <w:szCs w:val="24"/>
        </w:rPr>
        <w:t>（</w:t>
      </w:r>
      <w:r w:rsidRPr="007230E8">
        <w:rPr>
          <w:rFonts w:eastAsia="楷体" w:hint="eastAsia"/>
          <w:sz w:val="24"/>
          <w:szCs w:val="24"/>
        </w:rPr>
        <w:t>HPC</w:t>
      </w:r>
      <w:r w:rsidRPr="007230E8">
        <w:rPr>
          <w:rFonts w:ascii="楷体" w:eastAsia="楷体" w:hAnsi="楷体" w:hint="eastAsia"/>
          <w:sz w:val="24"/>
          <w:szCs w:val="24"/>
        </w:rPr>
        <w:t>)</w:t>
      </w:r>
      <w:proofErr w:type="gramStart"/>
      <w:r w:rsidRPr="007230E8">
        <w:rPr>
          <w:rFonts w:eastAsia="楷体" w:hint="eastAsia"/>
          <w:sz w:val="24"/>
          <w:szCs w:val="24"/>
        </w:rPr>
        <w:t>超算集群</w:t>
      </w:r>
      <w:proofErr w:type="gramEnd"/>
      <w:r w:rsidRPr="007230E8">
        <w:rPr>
          <w:rFonts w:eastAsia="楷体" w:hint="eastAsia"/>
          <w:sz w:val="24"/>
          <w:szCs w:val="24"/>
        </w:rPr>
        <w:t>。该集群由</w:t>
      </w:r>
      <w:r w:rsidRPr="007230E8">
        <w:rPr>
          <w:rFonts w:eastAsia="楷体" w:hint="eastAsia"/>
          <w:sz w:val="24"/>
          <w:szCs w:val="24"/>
        </w:rPr>
        <w:t xml:space="preserve"> 81 </w:t>
      </w:r>
      <w:r w:rsidRPr="007230E8">
        <w:rPr>
          <w:rFonts w:eastAsia="楷体" w:hint="eastAsia"/>
          <w:sz w:val="24"/>
          <w:szCs w:val="24"/>
        </w:rPr>
        <w:t>台高性能</w:t>
      </w:r>
      <w:r w:rsidRPr="007230E8">
        <w:rPr>
          <w:rFonts w:eastAsia="楷体" w:hint="eastAsia"/>
          <w:sz w:val="24"/>
          <w:szCs w:val="24"/>
        </w:rPr>
        <w:t xml:space="preserve"> CPU </w:t>
      </w:r>
      <w:r w:rsidRPr="007230E8">
        <w:rPr>
          <w:rFonts w:eastAsia="楷体" w:hint="eastAsia"/>
          <w:sz w:val="24"/>
          <w:szCs w:val="24"/>
        </w:rPr>
        <w:t>计算节点、</w:t>
      </w:r>
      <w:r w:rsidRPr="007230E8">
        <w:rPr>
          <w:rFonts w:eastAsia="楷体" w:hint="eastAsia"/>
          <w:sz w:val="24"/>
          <w:szCs w:val="24"/>
        </w:rPr>
        <w:t xml:space="preserve">13 </w:t>
      </w:r>
      <w:r w:rsidRPr="007230E8">
        <w:rPr>
          <w:rFonts w:eastAsia="楷体" w:hint="eastAsia"/>
          <w:sz w:val="24"/>
          <w:szCs w:val="24"/>
        </w:rPr>
        <w:t>台大内存</w:t>
      </w:r>
      <w:r w:rsidRPr="007230E8">
        <w:rPr>
          <w:rFonts w:eastAsia="楷体" w:hint="eastAsia"/>
          <w:sz w:val="24"/>
          <w:szCs w:val="24"/>
        </w:rPr>
        <w:t xml:space="preserve"> FAT </w:t>
      </w:r>
      <w:r w:rsidRPr="007230E8">
        <w:rPr>
          <w:rFonts w:eastAsia="楷体" w:hint="eastAsia"/>
          <w:sz w:val="24"/>
          <w:szCs w:val="24"/>
        </w:rPr>
        <w:t>胖节点以及</w:t>
      </w:r>
      <w:r w:rsidRPr="007230E8">
        <w:rPr>
          <w:rFonts w:eastAsia="楷体" w:hint="eastAsia"/>
          <w:sz w:val="24"/>
          <w:szCs w:val="24"/>
        </w:rPr>
        <w:t xml:space="preserve"> 10 </w:t>
      </w:r>
      <w:r w:rsidRPr="007230E8">
        <w:rPr>
          <w:rFonts w:eastAsia="楷体" w:hint="eastAsia"/>
          <w:sz w:val="24"/>
          <w:szCs w:val="24"/>
        </w:rPr>
        <w:t>台</w:t>
      </w:r>
      <w:r w:rsidRPr="007230E8">
        <w:rPr>
          <w:rFonts w:eastAsia="楷体" w:hint="eastAsia"/>
          <w:sz w:val="24"/>
          <w:szCs w:val="24"/>
        </w:rPr>
        <w:t xml:space="preserve"> GPU </w:t>
      </w:r>
      <w:r w:rsidRPr="007230E8">
        <w:rPr>
          <w:rFonts w:eastAsia="楷体" w:hint="eastAsia"/>
          <w:sz w:val="24"/>
          <w:szCs w:val="24"/>
        </w:rPr>
        <w:t>计算节点</w:t>
      </w:r>
      <w:r>
        <w:rPr>
          <w:rFonts w:eastAsia="楷体" w:hint="eastAsia"/>
          <w:sz w:val="24"/>
          <w:szCs w:val="24"/>
        </w:rPr>
        <w:t>（</w:t>
      </w:r>
      <w:r w:rsidRPr="007230E8">
        <w:rPr>
          <w:rFonts w:eastAsia="楷体" w:hint="eastAsia"/>
          <w:sz w:val="24"/>
          <w:szCs w:val="24"/>
        </w:rPr>
        <w:t>包括</w:t>
      </w:r>
      <w:r w:rsidRPr="007230E8">
        <w:rPr>
          <w:rFonts w:eastAsia="楷体" w:hint="eastAsia"/>
          <w:sz w:val="24"/>
          <w:szCs w:val="24"/>
        </w:rPr>
        <w:t>H1002</w:t>
      </w:r>
      <w:r w:rsidRPr="007230E8">
        <w:rPr>
          <w:rFonts w:eastAsia="楷体" w:hint="eastAsia"/>
          <w:sz w:val="24"/>
          <w:szCs w:val="24"/>
        </w:rPr>
        <w:t>台、</w:t>
      </w:r>
      <w:r w:rsidRPr="007230E8">
        <w:rPr>
          <w:rFonts w:eastAsia="楷体" w:hint="eastAsia"/>
          <w:sz w:val="24"/>
          <w:szCs w:val="24"/>
        </w:rPr>
        <w:t>A1002</w:t>
      </w:r>
      <w:r w:rsidRPr="007230E8">
        <w:rPr>
          <w:rFonts w:eastAsia="楷体" w:hint="eastAsia"/>
          <w:sz w:val="24"/>
          <w:szCs w:val="24"/>
        </w:rPr>
        <w:t>台、</w:t>
      </w:r>
      <w:r w:rsidRPr="007230E8">
        <w:rPr>
          <w:rFonts w:eastAsia="楷体" w:hint="eastAsia"/>
          <w:sz w:val="24"/>
          <w:szCs w:val="24"/>
        </w:rPr>
        <w:t>V1004</w:t>
      </w:r>
      <w:r w:rsidRPr="007230E8">
        <w:rPr>
          <w:rFonts w:eastAsia="楷体" w:hint="eastAsia"/>
          <w:sz w:val="24"/>
          <w:szCs w:val="24"/>
        </w:rPr>
        <w:t>台、</w:t>
      </w:r>
      <w:r w:rsidRPr="007230E8">
        <w:rPr>
          <w:rFonts w:eastAsia="楷体" w:hint="eastAsia"/>
          <w:sz w:val="24"/>
          <w:szCs w:val="24"/>
        </w:rPr>
        <w:t>H202</w:t>
      </w:r>
      <w:r w:rsidRPr="007230E8">
        <w:rPr>
          <w:rFonts w:eastAsia="楷体" w:hint="eastAsia"/>
          <w:sz w:val="24"/>
          <w:szCs w:val="24"/>
        </w:rPr>
        <w:t>台</w:t>
      </w:r>
      <w:r>
        <w:rPr>
          <w:rFonts w:eastAsia="楷体" w:hint="eastAsia"/>
          <w:sz w:val="24"/>
          <w:szCs w:val="24"/>
        </w:rPr>
        <w:t>）</w:t>
      </w:r>
      <w:r w:rsidRPr="007230E8">
        <w:rPr>
          <w:rFonts w:eastAsia="楷体" w:hint="eastAsia"/>
          <w:sz w:val="24"/>
          <w:szCs w:val="24"/>
        </w:rPr>
        <w:t>组成，双精度理论峰值计算能力约</w:t>
      </w:r>
      <w:r w:rsidRPr="007230E8">
        <w:rPr>
          <w:rFonts w:eastAsia="楷体" w:hint="eastAsia"/>
          <w:sz w:val="24"/>
          <w:szCs w:val="24"/>
        </w:rPr>
        <w:t xml:space="preserve"> 1245.6 TFLOP</w:t>
      </w:r>
      <w:r>
        <w:rPr>
          <w:rFonts w:eastAsia="楷体" w:hint="eastAsia"/>
          <w:sz w:val="24"/>
          <w:szCs w:val="24"/>
        </w:rPr>
        <w:t>（</w:t>
      </w:r>
      <w:r w:rsidRPr="007230E8">
        <w:rPr>
          <w:rFonts w:eastAsia="楷体" w:hint="eastAsia"/>
          <w:sz w:val="24"/>
          <w:szCs w:val="24"/>
        </w:rPr>
        <w:t>1.21 PFLOPS</w:t>
      </w:r>
      <w:r>
        <w:rPr>
          <w:rFonts w:eastAsia="楷体" w:hint="eastAsia"/>
          <w:sz w:val="24"/>
          <w:szCs w:val="24"/>
        </w:rPr>
        <w:t>）</w:t>
      </w:r>
      <w:r w:rsidRPr="007230E8">
        <w:rPr>
          <w:rFonts w:eastAsia="楷体" w:hint="eastAsia"/>
          <w:sz w:val="24"/>
          <w:szCs w:val="24"/>
        </w:rPr>
        <w:t>，具备千万亿次双精度浮点运算能力。集群采用高速互联网络架构，支持超大规模并行计算、异构协同处理与高效负载均衡调度，显著提升数据处理效率。平台能够全面支撑大规模深度学习模型的高效训练与推理，满足复杂多组学数据的高效集成分析需求，尤其适用于图神经网络建模、因果推理、分子模拟、精准表型预测等计算密集型任务。为本项目实现海量数据的快速处理与高效分析提供了坚实的</w:t>
      </w:r>
      <w:proofErr w:type="gramStart"/>
      <w:r w:rsidRPr="007230E8">
        <w:rPr>
          <w:rFonts w:eastAsia="楷体" w:hint="eastAsia"/>
          <w:sz w:val="24"/>
          <w:szCs w:val="24"/>
        </w:rPr>
        <w:t>算力基础</w:t>
      </w:r>
      <w:proofErr w:type="gramEnd"/>
      <w:r w:rsidRPr="007230E8">
        <w:rPr>
          <w:rFonts w:eastAsia="楷体" w:hint="eastAsia"/>
          <w:sz w:val="24"/>
          <w:szCs w:val="24"/>
        </w:rPr>
        <w:t>和技术保障，显著提升科学研究的系统性、精准性与高效性，确保科研任务高质量推进。</w:t>
      </w:r>
    </w:p>
    <w:permEnd w:id="1587421037"/>
    <w:p w14:paraId="14749E79" w14:textId="77777777" w:rsidR="00E85F48" w:rsidRDefault="00DE2CB8">
      <w:pPr>
        <w:snapToGrid w:val="0"/>
        <w:spacing w:line="440" w:lineRule="exact"/>
        <w:ind w:firstLine="570"/>
        <w:rPr>
          <w:rFonts w:ascii="楷体" w:eastAsia="楷体" w:hAnsi="楷体" w:cs="楷体_GB2312"/>
          <w:color w:val="0070C0"/>
          <w:sz w:val="28"/>
          <w:szCs w:val="28"/>
        </w:rPr>
      </w:pPr>
      <w:r>
        <w:rPr>
          <w:rFonts w:ascii="楷体" w:eastAsia="楷体" w:hAnsi="楷体"/>
          <w:color w:val="0070C0"/>
          <w:sz w:val="28"/>
          <w:szCs w:val="28"/>
        </w:rPr>
        <w:t>3</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正在承担的与本项目相关的科研项目情况</w:t>
      </w:r>
      <w:r>
        <w:rPr>
          <w:rFonts w:ascii="楷体" w:eastAsia="楷体" w:hAnsi="楷体" w:cs="楷体_GB2312" w:hint="eastAsia"/>
          <w:color w:val="0070C0"/>
          <w:sz w:val="28"/>
          <w:szCs w:val="28"/>
        </w:rPr>
        <w:t>（申请人和主要参与者正在承担的与本项目相关的科研项目情况，包括国家自然科学基金的项目和国家其他科技计划项目，要注明项目的资助机构、项目类别、批准号、项目名称、获资助金额、起止年月、与本项目的关系及负责的内容等）；</w:t>
      </w:r>
    </w:p>
    <w:p w14:paraId="58F04193" w14:textId="77777777" w:rsidR="00E85F48" w:rsidRDefault="00DE2CB8">
      <w:pPr>
        <w:widowControl/>
        <w:spacing w:line="440" w:lineRule="exact"/>
        <w:ind w:firstLineChars="200" w:firstLine="480"/>
        <w:rPr>
          <w:rFonts w:eastAsia="楷体"/>
          <w:sz w:val="24"/>
          <w:szCs w:val="24"/>
        </w:rPr>
      </w:pPr>
      <w:permStart w:id="2022909780" w:edGrp="everyone"/>
      <w:r>
        <w:rPr>
          <w:rFonts w:eastAsia="楷体"/>
          <w:sz w:val="24"/>
          <w:szCs w:val="24"/>
        </w:rPr>
        <w:lastRenderedPageBreak/>
        <w:t xml:space="preserve">[1] </w:t>
      </w:r>
      <w:r>
        <w:rPr>
          <w:rFonts w:eastAsia="楷体"/>
          <w:sz w:val="24"/>
          <w:szCs w:val="24"/>
        </w:rPr>
        <w:t>国家自然科学基金面上项目，</w:t>
      </w:r>
      <w:r>
        <w:rPr>
          <w:rFonts w:eastAsia="楷体"/>
          <w:sz w:val="24"/>
          <w:szCs w:val="24"/>
        </w:rPr>
        <w:t>32271352</w:t>
      </w:r>
      <w:r>
        <w:rPr>
          <w:rFonts w:eastAsia="楷体"/>
          <w:sz w:val="24"/>
          <w:szCs w:val="24"/>
        </w:rPr>
        <w:t>，基于深度学习的农产品农药残留快速智能检测的研究，</w:t>
      </w:r>
      <w:r>
        <w:rPr>
          <w:rFonts w:eastAsia="楷体"/>
          <w:sz w:val="24"/>
          <w:szCs w:val="24"/>
        </w:rPr>
        <w:t>54</w:t>
      </w:r>
      <w:r>
        <w:rPr>
          <w:rFonts w:eastAsia="楷体"/>
          <w:sz w:val="24"/>
          <w:szCs w:val="24"/>
        </w:rPr>
        <w:t>万元，</w:t>
      </w:r>
      <w:bookmarkStart w:id="1" w:name="OLE_LINK6"/>
      <w:r>
        <w:rPr>
          <w:rFonts w:eastAsia="楷体"/>
          <w:sz w:val="24"/>
          <w:szCs w:val="24"/>
        </w:rPr>
        <w:t>2023.1.1-2026.12.21</w:t>
      </w:r>
      <w:bookmarkEnd w:id="1"/>
      <w:r>
        <w:rPr>
          <w:rFonts w:eastAsia="楷体"/>
          <w:sz w:val="24"/>
          <w:szCs w:val="24"/>
        </w:rPr>
        <w:t>，在</w:t>
      </w:r>
      <w:proofErr w:type="gramStart"/>
      <w:r>
        <w:rPr>
          <w:rFonts w:eastAsia="楷体"/>
          <w:sz w:val="24"/>
          <w:szCs w:val="24"/>
        </w:rPr>
        <w:t>研</w:t>
      </w:r>
      <w:proofErr w:type="gramEnd"/>
      <w:r>
        <w:rPr>
          <w:rFonts w:eastAsia="楷体"/>
          <w:sz w:val="24"/>
          <w:szCs w:val="24"/>
        </w:rPr>
        <w:t>，主持</w:t>
      </w:r>
    </w:p>
    <w:p w14:paraId="14109865" w14:textId="77777777" w:rsidR="00E85F48" w:rsidRDefault="00DE2CB8">
      <w:pPr>
        <w:snapToGrid w:val="0"/>
        <w:spacing w:afterLines="50" w:after="156" w:line="440" w:lineRule="exact"/>
        <w:ind w:firstLine="573"/>
        <w:rPr>
          <w:rFonts w:eastAsia="楷体"/>
          <w:sz w:val="24"/>
          <w:szCs w:val="24"/>
        </w:rPr>
      </w:pPr>
      <w:r>
        <w:rPr>
          <w:rFonts w:eastAsia="楷体" w:hint="eastAsia"/>
          <w:sz w:val="24"/>
          <w:szCs w:val="24"/>
        </w:rPr>
        <w:t>该</w:t>
      </w:r>
      <w:r>
        <w:rPr>
          <w:rFonts w:eastAsia="楷体"/>
          <w:sz w:val="24"/>
          <w:szCs w:val="24"/>
        </w:rPr>
        <w:t>项目通过结合</w:t>
      </w:r>
      <w:r>
        <w:rPr>
          <w:rFonts w:eastAsia="楷体" w:hint="eastAsia"/>
          <w:sz w:val="24"/>
          <w:szCs w:val="24"/>
        </w:rPr>
        <w:t>人工智能方法</w:t>
      </w:r>
      <w:r>
        <w:rPr>
          <w:rFonts w:eastAsia="楷体"/>
          <w:sz w:val="24"/>
          <w:szCs w:val="24"/>
        </w:rPr>
        <w:t>与智能手机拍照技术，针对当前农药残留检测方法的周期长、效率低、成本高等问题，开发了新型比率免疫荧光传感器。项目</w:t>
      </w:r>
      <w:r>
        <w:rPr>
          <w:rFonts w:eastAsia="楷体"/>
          <w:sz w:val="24"/>
          <w:szCs w:val="24"/>
        </w:rPr>
        <w:t>的初步研究揭示了三基色碳量子点的光电子传递规律及其对农药分子残留的影响机制，并初步验证了深度学习模型在农药残留检测中的可行性。</w:t>
      </w:r>
      <w:r>
        <w:rPr>
          <w:rFonts w:eastAsia="楷体" w:hint="eastAsia"/>
          <w:sz w:val="24"/>
          <w:szCs w:val="24"/>
        </w:rPr>
        <w:t>通过改进卷积神经网络，能够从智能手机拍摄的荧光图像中提取特征，实现对农药残留的定性和定量分析。通过大规模样本训练（</w:t>
      </w:r>
      <w:r>
        <w:rPr>
          <w:rFonts w:eastAsia="楷体" w:hint="eastAsia"/>
          <w:sz w:val="24"/>
          <w:szCs w:val="24"/>
        </w:rPr>
        <w:t>&gt;10,000</w:t>
      </w:r>
      <w:r>
        <w:rPr>
          <w:rFonts w:eastAsia="楷体" w:hint="eastAsia"/>
          <w:sz w:val="24"/>
          <w:szCs w:val="24"/>
        </w:rPr>
        <w:t>张图像），该算法在复杂背景下仍能保持</w:t>
      </w:r>
      <w:r>
        <w:rPr>
          <w:rFonts w:eastAsia="楷体" w:hint="eastAsia"/>
          <w:sz w:val="24"/>
          <w:szCs w:val="24"/>
        </w:rPr>
        <w:t>95%</w:t>
      </w:r>
      <w:r>
        <w:rPr>
          <w:rFonts w:eastAsia="楷体" w:hint="eastAsia"/>
          <w:sz w:val="24"/>
          <w:szCs w:val="24"/>
        </w:rPr>
        <w:t>以上的识别准确率。目前，该系统已成功应用于多种蔬果中有机磷和氨基甲酸酯类农药残留的检测，检出限达到</w:t>
      </w:r>
      <w:r>
        <w:rPr>
          <w:rFonts w:eastAsia="楷体" w:hint="eastAsia"/>
          <w:sz w:val="24"/>
          <w:szCs w:val="24"/>
        </w:rPr>
        <w:t>10ppb</w:t>
      </w:r>
      <w:r>
        <w:rPr>
          <w:rFonts w:eastAsia="楷体" w:hint="eastAsia"/>
          <w:sz w:val="24"/>
          <w:szCs w:val="24"/>
        </w:rPr>
        <w:t>，远低于国家标准限值。该项目的研究成果为本项目提供了人工智能算法开发和多维数据处理方面的技术借鉴，同时提出对</w:t>
      </w:r>
      <w:r>
        <w:rPr>
          <w:rFonts w:eastAsia="楷体" w:hint="eastAsia"/>
          <w:sz w:val="24"/>
          <w:szCs w:val="24"/>
        </w:rPr>
        <w:t>数据特征提取的新方法为本项目提供新范式，有助于本项目的顺利实施。</w:t>
      </w:r>
    </w:p>
    <w:permEnd w:id="2022909780"/>
    <w:p w14:paraId="5BB3150F" w14:textId="77777777" w:rsidR="00E85F48" w:rsidRDefault="00DE2CB8">
      <w:pPr>
        <w:snapToGrid w:val="0"/>
        <w:spacing w:afterLines="50" w:after="156" w:line="440" w:lineRule="exact"/>
        <w:ind w:firstLine="573"/>
        <w:rPr>
          <w:rFonts w:ascii="楷体" w:eastAsia="楷体" w:hAnsi="楷体" w:cs="楷体_GB2312"/>
          <w:color w:val="0070C0"/>
          <w:sz w:val="28"/>
          <w:szCs w:val="28"/>
        </w:rPr>
      </w:pPr>
      <w:r>
        <w:rPr>
          <w:rFonts w:ascii="楷体" w:eastAsia="楷体" w:hAnsi="楷体"/>
          <w:color w:val="0070C0"/>
          <w:sz w:val="28"/>
          <w:szCs w:val="28"/>
        </w:rPr>
        <w:t>4</w:t>
      </w:r>
      <w:r>
        <w:rPr>
          <w:rFonts w:ascii="楷体" w:eastAsia="楷体" w:hAnsi="楷体" w:cs="楷体_GB2312" w:hint="eastAsia"/>
          <w:color w:val="0070C0"/>
          <w:sz w:val="28"/>
          <w:szCs w:val="28"/>
        </w:rPr>
        <w:t>．</w:t>
      </w:r>
      <w:r>
        <w:rPr>
          <w:rFonts w:ascii="楷体" w:eastAsia="楷体" w:hAnsi="楷体" w:cs="楷体_GB2312" w:hint="eastAsia"/>
          <w:b/>
          <w:bCs/>
          <w:color w:val="0070C0"/>
          <w:sz w:val="28"/>
          <w:szCs w:val="28"/>
        </w:rPr>
        <w:t>完成国家自然科学基金项目情况</w:t>
      </w:r>
      <w:r>
        <w:rPr>
          <w:rFonts w:ascii="楷体" w:eastAsia="楷体" w:hAnsi="楷体" w:cs="楷体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楷体" w:eastAsia="楷体" w:hAnsi="楷体"/>
          <w:color w:val="0070C0"/>
          <w:sz w:val="28"/>
          <w:szCs w:val="28"/>
        </w:rPr>
        <w:t>500</w:t>
      </w:r>
      <w:r>
        <w:rPr>
          <w:rFonts w:ascii="楷体" w:eastAsia="楷体" w:hAnsi="楷体" w:cs="楷体_GB2312" w:hint="eastAsia"/>
          <w:color w:val="0070C0"/>
          <w:sz w:val="28"/>
          <w:szCs w:val="28"/>
        </w:rPr>
        <w:t>字）和相关成果详细目录）。</w:t>
      </w:r>
    </w:p>
    <w:p w14:paraId="003BCD66" w14:textId="77777777" w:rsidR="00E85F48" w:rsidRPr="007230E8" w:rsidRDefault="00DE2CB8">
      <w:pPr>
        <w:snapToGrid w:val="0"/>
        <w:spacing w:after="156" w:line="440" w:lineRule="exact"/>
        <w:ind w:firstLineChars="196" w:firstLine="470"/>
        <w:rPr>
          <w:rFonts w:ascii="楷体" w:eastAsia="楷体" w:hAnsi="楷体"/>
          <w:sz w:val="24"/>
          <w:szCs w:val="24"/>
        </w:rPr>
      </w:pPr>
      <w:permStart w:id="1317536449" w:edGrp="everyone"/>
      <w:r w:rsidRPr="007230E8">
        <w:rPr>
          <w:rFonts w:ascii="楷体" w:eastAsia="楷体" w:hAnsi="楷体" w:hint="eastAsia"/>
          <w:sz w:val="24"/>
          <w:szCs w:val="24"/>
        </w:rPr>
        <w:t>无</w:t>
      </w:r>
    </w:p>
    <w:permEnd w:id="1317536449"/>
    <w:p w14:paraId="11437994" w14:textId="77777777" w:rsidR="00E85F48" w:rsidRDefault="00DE2CB8">
      <w:pPr>
        <w:snapToGrid w:val="0"/>
        <w:spacing w:before="120" w:line="440" w:lineRule="exact"/>
        <w:ind w:firstLineChars="200" w:firstLine="562"/>
        <w:rPr>
          <w:rFonts w:ascii="楷体" w:eastAsia="楷体" w:hAnsi="楷体" w:cs="楷体_GB2312"/>
          <w:b/>
          <w:bCs/>
          <w:color w:val="0070C0"/>
          <w:sz w:val="28"/>
          <w:szCs w:val="28"/>
        </w:rPr>
      </w:pPr>
      <w:r>
        <w:rPr>
          <w:rFonts w:ascii="楷体" w:eastAsia="楷体" w:hAnsi="楷体" w:cs="楷体_GB2312" w:hint="eastAsia"/>
          <w:b/>
          <w:bCs/>
          <w:color w:val="0070C0"/>
          <w:sz w:val="28"/>
          <w:szCs w:val="28"/>
        </w:rPr>
        <w:t>（三）其他需要说明的情况</w:t>
      </w:r>
    </w:p>
    <w:p w14:paraId="649BED18" w14:textId="77777777" w:rsidR="00E85F48" w:rsidRDefault="00DE2CB8">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1. </w:t>
      </w:r>
      <w:r>
        <w:rPr>
          <w:rFonts w:ascii="楷体" w:eastAsia="楷体" w:hAnsi="楷体"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p>
    <w:p w14:paraId="4CE3A11E" w14:textId="77777777" w:rsidR="00E85F48" w:rsidRPr="007230E8" w:rsidRDefault="00DE2CB8">
      <w:pPr>
        <w:snapToGrid w:val="0"/>
        <w:spacing w:after="156" w:line="440" w:lineRule="exact"/>
        <w:ind w:firstLineChars="196" w:firstLine="470"/>
        <w:rPr>
          <w:rFonts w:ascii="楷体" w:eastAsia="楷体" w:hAnsi="楷体"/>
          <w:sz w:val="24"/>
          <w:szCs w:val="24"/>
        </w:rPr>
      </w:pPr>
      <w:permStart w:id="1252883272" w:edGrp="everyone"/>
      <w:r w:rsidRPr="007230E8">
        <w:rPr>
          <w:rFonts w:ascii="楷体" w:eastAsia="楷体" w:hAnsi="楷体" w:hint="eastAsia"/>
          <w:sz w:val="24"/>
          <w:szCs w:val="24"/>
        </w:rPr>
        <w:t>无</w:t>
      </w:r>
    </w:p>
    <w:permEnd w:id="1252883272"/>
    <w:p w14:paraId="53A8E16D" w14:textId="77777777" w:rsidR="00E85F48" w:rsidRDefault="00DE2CB8">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2. </w:t>
      </w:r>
      <w:r>
        <w:rPr>
          <w:rFonts w:ascii="楷体" w:eastAsia="楷体" w:hAnsi="楷体" w:hint="eastAsia"/>
          <w:bCs/>
          <w:color w:val="0070C0"/>
          <w:sz w:val="28"/>
          <w:szCs w:val="28"/>
        </w:rPr>
        <w:t>具有高级专业技术职务（职称）的申请人或者主要参与者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10DCF129" w14:textId="77777777" w:rsidR="00E85F48" w:rsidRPr="007230E8" w:rsidRDefault="00DE2CB8">
      <w:pPr>
        <w:snapToGrid w:val="0"/>
        <w:spacing w:after="156" w:line="440" w:lineRule="exact"/>
        <w:ind w:firstLineChars="196" w:firstLine="470"/>
        <w:rPr>
          <w:rFonts w:ascii="楷体" w:eastAsia="楷体" w:hAnsi="楷体"/>
          <w:sz w:val="24"/>
          <w:szCs w:val="24"/>
        </w:rPr>
      </w:pPr>
      <w:permStart w:id="526066543" w:edGrp="everyone"/>
      <w:r w:rsidRPr="007230E8">
        <w:rPr>
          <w:rFonts w:ascii="楷体" w:eastAsia="楷体" w:hAnsi="楷体" w:hint="eastAsia"/>
          <w:sz w:val="24"/>
          <w:szCs w:val="24"/>
        </w:rPr>
        <w:t>无</w:t>
      </w:r>
    </w:p>
    <w:permEnd w:id="526066543"/>
    <w:p w14:paraId="071C6E37" w14:textId="77777777" w:rsidR="00E85F48" w:rsidRDefault="00DE2CB8">
      <w:pPr>
        <w:numPr>
          <w:ilvl w:val="0"/>
          <w:numId w:val="2"/>
        </w:numPr>
        <w:snapToGrid w:val="0"/>
        <w:spacing w:afterLines="50" w:after="156" w:line="440" w:lineRule="exact"/>
        <w:ind w:firstLine="573"/>
        <w:rPr>
          <w:rFonts w:ascii="楷体" w:eastAsia="楷体" w:hAnsi="楷体"/>
          <w:bCs/>
          <w:color w:val="0070C0"/>
          <w:sz w:val="28"/>
          <w:szCs w:val="28"/>
        </w:rPr>
      </w:pPr>
      <w:r>
        <w:rPr>
          <w:rFonts w:ascii="楷体" w:eastAsia="楷体" w:hAnsi="楷体" w:hint="eastAsia"/>
          <w:bCs/>
          <w:color w:val="0070C0"/>
          <w:sz w:val="28"/>
          <w:szCs w:val="28"/>
        </w:rPr>
        <w:lastRenderedPageBreak/>
        <w:t>具有高级专业技术职务（职称）的申请人或者主要参与者是否存在与正在承担的国家自然科学基金项目的单位不一致的情况；如存在上述情况，列明所涉及人员的姓名，正在承担项目的批准号、项目类型、项目名称、单位名称、起止年月，并说明单位不一</w:t>
      </w:r>
      <w:r>
        <w:rPr>
          <w:rFonts w:ascii="楷体" w:eastAsia="楷体" w:hAnsi="楷体" w:hint="eastAsia"/>
          <w:bCs/>
          <w:color w:val="0070C0"/>
          <w:sz w:val="28"/>
          <w:szCs w:val="28"/>
        </w:rPr>
        <w:t>致原因。</w:t>
      </w:r>
    </w:p>
    <w:p w14:paraId="68BCEFEC" w14:textId="77777777" w:rsidR="00E85F48" w:rsidRPr="007230E8" w:rsidRDefault="00DE2CB8">
      <w:pPr>
        <w:snapToGrid w:val="0"/>
        <w:spacing w:after="156" w:line="440" w:lineRule="exact"/>
        <w:ind w:firstLineChars="196" w:firstLine="470"/>
        <w:rPr>
          <w:rFonts w:ascii="楷体" w:eastAsia="楷体" w:hAnsi="楷体"/>
          <w:bCs/>
          <w:sz w:val="24"/>
          <w:szCs w:val="24"/>
        </w:rPr>
      </w:pPr>
      <w:permStart w:id="210970429" w:edGrp="everyone"/>
      <w:r w:rsidRPr="007230E8">
        <w:rPr>
          <w:rFonts w:ascii="楷体" w:eastAsia="楷体" w:hAnsi="楷体" w:hint="eastAsia"/>
          <w:bCs/>
          <w:sz w:val="24"/>
          <w:szCs w:val="24"/>
        </w:rPr>
        <w:t>无</w:t>
      </w:r>
    </w:p>
    <w:p w14:paraId="334D1690" w14:textId="77777777" w:rsidR="00E85F48" w:rsidRDefault="00DE2CB8">
      <w:pPr>
        <w:numPr>
          <w:ilvl w:val="0"/>
          <w:numId w:val="2"/>
        </w:numPr>
        <w:snapToGrid w:val="0"/>
        <w:spacing w:afterLines="50" w:after="156" w:line="440" w:lineRule="exact"/>
        <w:ind w:firstLine="573"/>
        <w:rPr>
          <w:rFonts w:ascii="楷体" w:eastAsia="楷体" w:hAnsi="楷体"/>
          <w:bCs/>
          <w:color w:val="0070C0"/>
          <w:sz w:val="28"/>
          <w:szCs w:val="28"/>
        </w:rPr>
      </w:pPr>
      <w:bookmarkStart w:id="2" w:name="OLE_LINK1"/>
      <w:permEnd w:id="210970429"/>
      <w:r>
        <w:rPr>
          <w:rFonts w:ascii="楷体" w:eastAsia="楷体" w:hAnsi="楷体" w:hint="eastAsia"/>
          <w:bCs/>
          <w:color w:val="0070C0"/>
          <w:sz w:val="28"/>
          <w:szCs w:val="28"/>
        </w:rPr>
        <w:t>同年以不同专业技术职务（职称）申请或参与申请科学基金项目的情况（应详细说明原因）。</w:t>
      </w:r>
    </w:p>
    <w:bookmarkEnd w:id="2"/>
    <w:p w14:paraId="2F676662" w14:textId="77777777" w:rsidR="00E85F48" w:rsidRPr="007230E8" w:rsidRDefault="00DE2CB8">
      <w:pPr>
        <w:snapToGrid w:val="0"/>
        <w:spacing w:after="156" w:line="440" w:lineRule="exact"/>
        <w:ind w:firstLineChars="196" w:firstLine="470"/>
        <w:rPr>
          <w:rFonts w:ascii="楷体" w:eastAsia="楷体" w:hAnsi="楷体"/>
          <w:sz w:val="24"/>
          <w:szCs w:val="24"/>
        </w:rPr>
      </w:pPr>
      <w:permStart w:id="588587027" w:edGrp="everyone"/>
      <w:r w:rsidRPr="007230E8">
        <w:rPr>
          <w:rFonts w:ascii="楷体" w:eastAsia="楷体" w:hAnsi="楷体" w:hint="eastAsia"/>
          <w:sz w:val="24"/>
          <w:szCs w:val="24"/>
        </w:rPr>
        <w:t>无</w:t>
      </w:r>
    </w:p>
    <w:permEnd w:id="588587027"/>
    <w:p w14:paraId="2CCF8FCD" w14:textId="77777777" w:rsidR="00E85F48" w:rsidRDefault="00DE2CB8">
      <w:pPr>
        <w:numPr>
          <w:ilvl w:val="0"/>
          <w:numId w:val="2"/>
        </w:numPr>
        <w:snapToGrid w:val="0"/>
        <w:spacing w:afterLines="50" w:after="156" w:line="440" w:lineRule="exact"/>
        <w:ind w:firstLine="573"/>
        <w:rPr>
          <w:rFonts w:ascii="楷体" w:eastAsia="楷体" w:hAnsi="楷体"/>
          <w:bCs/>
          <w:color w:val="0070C0"/>
          <w:sz w:val="28"/>
          <w:szCs w:val="28"/>
        </w:rPr>
      </w:pPr>
      <w:r>
        <w:rPr>
          <w:rFonts w:ascii="楷体" w:eastAsia="楷体" w:hAnsi="楷体" w:hint="eastAsia"/>
          <w:bCs/>
          <w:color w:val="0070C0"/>
          <w:sz w:val="28"/>
          <w:szCs w:val="28"/>
        </w:rPr>
        <w:t>其他。</w:t>
      </w:r>
    </w:p>
    <w:p w14:paraId="31CC68EA" w14:textId="77777777" w:rsidR="00E85F48" w:rsidRPr="007230E8" w:rsidRDefault="00DE2CB8">
      <w:pPr>
        <w:snapToGrid w:val="0"/>
        <w:spacing w:after="156" w:line="440" w:lineRule="exact"/>
        <w:ind w:firstLineChars="196" w:firstLine="470"/>
        <w:rPr>
          <w:rFonts w:ascii="楷体" w:eastAsia="楷体" w:hAnsi="楷体"/>
          <w:bCs/>
          <w:sz w:val="24"/>
          <w:szCs w:val="24"/>
        </w:rPr>
      </w:pPr>
      <w:permStart w:id="1913193170" w:edGrp="everyone"/>
      <w:r w:rsidRPr="007230E8">
        <w:rPr>
          <w:rFonts w:ascii="楷体" w:eastAsia="楷体" w:hAnsi="楷体" w:hint="eastAsia"/>
          <w:bCs/>
          <w:sz w:val="24"/>
          <w:szCs w:val="24"/>
        </w:rPr>
        <w:t>无</w:t>
      </w:r>
      <w:permEnd w:id="1913193170"/>
    </w:p>
    <w:sectPr w:rsidR="00E85F48" w:rsidRPr="007230E8">
      <w:pgSz w:w="11906" w:h="16838"/>
      <w:pgMar w:top="1418" w:right="1701"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3CF10" w14:textId="77777777" w:rsidR="00DE2CB8" w:rsidRDefault="00DE2CB8" w:rsidP="007F745A">
      <w:r>
        <w:separator/>
      </w:r>
    </w:p>
  </w:endnote>
  <w:endnote w:type="continuationSeparator" w:id="0">
    <w:p w14:paraId="10018C07" w14:textId="77777777" w:rsidR="00DE2CB8" w:rsidRDefault="00DE2CB8" w:rsidP="007F7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Times New Roman bold">
    <w:panose1 w:val="02020803070505020304"/>
    <w:charset w:val="00"/>
    <w:family w:val="roman"/>
    <w:pitch w:val="default"/>
    <w:sig w:usb0="00000000" w:usb1="00000000" w:usb2="00000009" w:usb3="00000000" w:csb0="400001FF" w:csb1="FFFF0000"/>
  </w:font>
  <w:font w:name="方正黑体_GBK">
    <w:altName w:val="微软雅黑"/>
    <w:charset w:val="86"/>
    <w:family w:val="script"/>
    <w:pitch w:val="default"/>
    <w:sig w:usb0="00000000" w:usb1="00000000" w:usb2="00082016"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10" w:usb3="00000000" w:csb0="00040000" w:csb1="00000000"/>
  </w:font>
  <w:font w:name="Times New Roman Regular">
    <w:altName w:val="Times New Roman"/>
    <w:charset w:val="00"/>
    <w:family w:val="auto"/>
    <w:pitch w:val="default"/>
    <w:sig w:usb0="00000000" w:usb1="00000000" w:usb2="00000009" w:usb3="00000000" w:csb0="400001FF" w:csb1="FFFF0000"/>
  </w:font>
  <w:font w:name="Times New Roman Italic">
    <w:panose1 w:val="02020503050405090304"/>
    <w:charset w:val="00"/>
    <w:family w:val="auto"/>
    <w:pitch w:val="default"/>
    <w:sig w:usb0="00000000" w:usb1="00000000" w:usb2="00000009" w:usb3="00000000" w:csb0="400001FF" w:csb1="FFFF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FC7B2" w14:textId="77777777" w:rsidR="00DE2CB8" w:rsidRDefault="00DE2CB8" w:rsidP="007F745A">
      <w:r>
        <w:separator/>
      </w:r>
    </w:p>
  </w:footnote>
  <w:footnote w:type="continuationSeparator" w:id="0">
    <w:p w14:paraId="6FB7C6DC" w14:textId="77777777" w:rsidR="00DE2CB8" w:rsidRDefault="00DE2CB8" w:rsidP="007F74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87EC5D"/>
    <w:multiLevelType w:val="singleLevel"/>
    <w:tmpl w:val="B187EC5D"/>
    <w:lvl w:ilvl="0">
      <w:start w:val="3"/>
      <w:numFmt w:val="decimal"/>
      <w:suff w:val="space"/>
      <w:lvlText w:val="%1."/>
      <w:lvlJc w:val="left"/>
    </w:lvl>
  </w:abstractNum>
  <w:abstractNum w:abstractNumId="1" w15:restartNumberingAfterBreak="0">
    <w:nsid w:val="34289653"/>
    <w:multiLevelType w:val="singleLevel"/>
    <w:tmpl w:val="34289653"/>
    <w:lvl w:ilvl="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embedSystemFonts/>
  <w:bordersDoNotSurroundHeader/>
  <w:bordersDoNotSurroundFooter/>
  <w:proofState w:spelling="clean" w:grammar="clean"/>
  <w:documentProtection w:edit="readOnly" w:enforcement="1"/>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567"/>
    <w:rsid w:val="8E7F8333"/>
    <w:rsid w:val="97F7332C"/>
    <w:rsid w:val="989BA6B4"/>
    <w:rsid w:val="AEDF60BF"/>
    <w:rsid w:val="AEE772A5"/>
    <w:rsid w:val="AFED1052"/>
    <w:rsid w:val="B5DFD9B0"/>
    <w:rsid w:val="B78701DE"/>
    <w:rsid w:val="B7963EB4"/>
    <w:rsid w:val="BD7D4231"/>
    <w:rsid w:val="BDDF60F1"/>
    <w:rsid w:val="BDE6BFB7"/>
    <w:rsid w:val="BDFFBEAE"/>
    <w:rsid w:val="BE5047A5"/>
    <w:rsid w:val="BE67794C"/>
    <w:rsid w:val="BEAB954B"/>
    <w:rsid w:val="BEB58DD1"/>
    <w:rsid w:val="BF3EF0FE"/>
    <w:rsid w:val="C7777A7D"/>
    <w:rsid w:val="D487F14B"/>
    <w:rsid w:val="D7E3E75E"/>
    <w:rsid w:val="D7F6B927"/>
    <w:rsid w:val="DDFAB176"/>
    <w:rsid w:val="DEE6DF5B"/>
    <w:rsid w:val="DF6E70AE"/>
    <w:rsid w:val="DFBBFE94"/>
    <w:rsid w:val="DFF13F12"/>
    <w:rsid w:val="DFF38B1F"/>
    <w:rsid w:val="E7CFFFBF"/>
    <w:rsid w:val="EA7F5D2B"/>
    <w:rsid w:val="EADD314D"/>
    <w:rsid w:val="EB7C7A33"/>
    <w:rsid w:val="EBBF1089"/>
    <w:rsid w:val="EBBF63B7"/>
    <w:rsid w:val="EBFFEA28"/>
    <w:rsid w:val="ED78E5F3"/>
    <w:rsid w:val="ED7B764D"/>
    <w:rsid w:val="EDBD5309"/>
    <w:rsid w:val="EF643446"/>
    <w:rsid w:val="EF6A1C02"/>
    <w:rsid w:val="EF7C0CB2"/>
    <w:rsid w:val="EF9E34AD"/>
    <w:rsid w:val="EFDDB4EB"/>
    <w:rsid w:val="EFEBB547"/>
    <w:rsid w:val="F1BF8FAD"/>
    <w:rsid w:val="F34E90BD"/>
    <w:rsid w:val="F3B65F61"/>
    <w:rsid w:val="F43F294A"/>
    <w:rsid w:val="F4FF140D"/>
    <w:rsid w:val="F599EF90"/>
    <w:rsid w:val="F5D313BF"/>
    <w:rsid w:val="F5EFEDE3"/>
    <w:rsid w:val="F5FF5FA3"/>
    <w:rsid w:val="F6BBB3AF"/>
    <w:rsid w:val="F75F87D1"/>
    <w:rsid w:val="F7BE711C"/>
    <w:rsid w:val="F7DF7A74"/>
    <w:rsid w:val="F7FF5325"/>
    <w:rsid w:val="F97D83EE"/>
    <w:rsid w:val="F9DB9379"/>
    <w:rsid w:val="FAF7B0BB"/>
    <w:rsid w:val="FB7B6B4D"/>
    <w:rsid w:val="FBBF38D8"/>
    <w:rsid w:val="FBDBD3A3"/>
    <w:rsid w:val="FBE91B6E"/>
    <w:rsid w:val="FBF7A483"/>
    <w:rsid w:val="FBFBD573"/>
    <w:rsid w:val="FD5B428C"/>
    <w:rsid w:val="FD9BD7C4"/>
    <w:rsid w:val="FE7851A0"/>
    <w:rsid w:val="FE7932DB"/>
    <w:rsid w:val="FF44306A"/>
    <w:rsid w:val="FFA036D1"/>
    <w:rsid w:val="FFBDE90F"/>
    <w:rsid w:val="FFDA40AF"/>
    <w:rsid w:val="FFF707AC"/>
    <w:rsid w:val="FFFADC11"/>
    <w:rsid w:val="FFFC9A57"/>
    <w:rsid w:val="FFFF2557"/>
    <w:rsid w:val="00003EFC"/>
    <w:rsid w:val="00010FCD"/>
    <w:rsid w:val="00027D92"/>
    <w:rsid w:val="00035EA8"/>
    <w:rsid w:val="00043B1E"/>
    <w:rsid w:val="00045EB2"/>
    <w:rsid w:val="000548C2"/>
    <w:rsid w:val="00063A0D"/>
    <w:rsid w:val="00064FD1"/>
    <w:rsid w:val="00072965"/>
    <w:rsid w:val="000729AD"/>
    <w:rsid w:val="00081FFC"/>
    <w:rsid w:val="00084A3E"/>
    <w:rsid w:val="000918BB"/>
    <w:rsid w:val="0009527B"/>
    <w:rsid w:val="000A053B"/>
    <w:rsid w:val="000A7511"/>
    <w:rsid w:val="000C3B73"/>
    <w:rsid w:val="000D3C11"/>
    <w:rsid w:val="000E1317"/>
    <w:rsid w:val="000E4C3F"/>
    <w:rsid w:val="000E6C39"/>
    <w:rsid w:val="000E6E64"/>
    <w:rsid w:val="000E7FB5"/>
    <w:rsid w:val="000F6036"/>
    <w:rsid w:val="000F6FE1"/>
    <w:rsid w:val="0010395D"/>
    <w:rsid w:val="001049C9"/>
    <w:rsid w:val="0010504D"/>
    <w:rsid w:val="00105EAF"/>
    <w:rsid w:val="00106226"/>
    <w:rsid w:val="001153E9"/>
    <w:rsid w:val="0011637C"/>
    <w:rsid w:val="00117D6F"/>
    <w:rsid w:val="00132A50"/>
    <w:rsid w:val="001349C0"/>
    <w:rsid w:val="00135C0F"/>
    <w:rsid w:val="00156ED7"/>
    <w:rsid w:val="0016245F"/>
    <w:rsid w:val="001661B0"/>
    <w:rsid w:val="00171C11"/>
    <w:rsid w:val="00173B7D"/>
    <w:rsid w:val="00173DB9"/>
    <w:rsid w:val="001769DC"/>
    <w:rsid w:val="0018239D"/>
    <w:rsid w:val="00183D97"/>
    <w:rsid w:val="00183DA5"/>
    <w:rsid w:val="0018412B"/>
    <w:rsid w:val="001925F7"/>
    <w:rsid w:val="0019398F"/>
    <w:rsid w:val="00193D03"/>
    <w:rsid w:val="001B1361"/>
    <w:rsid w:val="001B178A"/>
    <w:rsid w:val="001B21E2"/>
    <w:rsid w:val="001B2A7B"/>
    <w:rsid w:val="001C76FD"/>
    <w:rsid w:val="001D00BA"/>
    <w:rsid w:val="001D4606"/>
    <w:rsid w:val="001D5BC2"/>
    <w:rsid w:val="001D5F6A"/>
    <w:rsid w:val="001E0A46"/>
    <w:rsid w:val="001E0F62"/>
    <w:rsid w:val="001E51A9"/>
    <w:rsid w:val="001E6892"/>
    <w:rsid w:val="001E6FD7"/>
    <w:rsid w:val="001F19EA"/>
    <w:rsid w:val="002113AA"/>
    <w:rsid w:val="0021307B"/>
    <w:rsid w:val="002137BE"/>
    <w:rsid w:val="00213C1C"/>
    <w:rsid w:val="0021529A"/>
    <w:rsid w:val="0022224D"/>
    <w:rsid w:val="0022554C"/>
    <w:rsid w:val="002343A9"/>
    <w:rsid w:val="00236A13"/>
    <w:rsid w:val="00237297"/>
    <w:rsid w:val="00237A6B"/>
    <w:rsid w:val="00246D35"/>
    <w:rsid w:val="00247B12"/>
    <w:rsid w:val="00255727"/>
    <w:rsid w:val="00260E05"/>
    <w:rsid w:val="00264E6A"/>
    <w:rsid w:val="00266C0C"/>
    <w:rsid w:val="00273421"/>
    <w:rsid w:val="00275BD1"/>
    <w:rsid w:val="00291082"/>
    <w:rsid w:val="00292BBB"/>
    <w:rsid w:val="00293443"/>
    <w:rsid w:val="002962D8"/>
    <w:rsid w:val="002A55F3"/>
    <w:rsid w:val="002A7D40"/>
    <w:rsid w:val="002B0857"/>
    <w:rsid w:val="002B6945"/>
    <w:rsid w:val="002C0E99"/>
    <w:rsid w:val="002D2E34"/>
    <w:rsid w:val="002D3281"/>
    <w:rsid w:val="002D331F"/>
    <w:rsid w:val="002D4603"/>
    <w:rsid w:val="002E083D"/>
    <w:rsid w:val="002F021B"/>
    <w:rsid w:val="002F1E44"/>
    <w:rsid w:val="002F53FA"/>
    <w:rsid w:val="002F62B1"/>
    <w:rsid w:val="00305463"/>
    <w:rsid w:val="00306EFD"/>
    <w:rsid w:val="003119FA"/>
    <w:rsid w:val="00313845"/>
    <w:rsid w:val="00313F43"/>
    <w:rsid w:val="0031481A"/>
    <w:rsid w:val="003158DC"/>
    <w:rsid w:val="00320E1B"/>
    <w:rsid w:val="00323B75"/>
    <w:rsid w:val="003242D7"/>
    <w:rsid w:val="0033411D"/>
    <w:rsid w:val="00334174"/>
    <w:rsid w:val="00337150"/>
    <w:rsid w:val="003457C8"/>
    <w:rsid w:val="00345AEF"/>
    <w:rsid w:val="0034736C"/>
    <w:rsid w:val="00352BF9"/>
    <w:rsid w:val="00353FF2"/>
    <w:rsid w:val="003559E1"/>
    <w:rsid w:val="00360477"/>
    <w:rsid w:val="003633B6"/>
    <w:rsid w:val="00366230"/>
    <w:rsid w:val="0036710C"/>
    <w:rsid w:val="00371D6C"/>
    <w:rsid w:val="00375244"/>
    <w:rsid w:val="00375FE9"/>
    <w:rsid w:val="003801B9"/>
    <w:rsid w:val="00392222"/>
    <w:rsid w:val="0039768A"/>
    <w:rsid w:val="003A0541"/>
    <w:rsid w:val="003A20AE"/>
    <w:rsid w:val="003B35CE"/>
    <w:rsid w:val="003C3005"/>
    <w:rsid w:val="003D50CC"/>
    <w:rsid w:val="003E68F1"/>
    <w:rsid w:val="003F47B2"/>
    <w:rsid w:val="003F6626"/>
    <w:rsid w:val="004002C6"/>
    <w:rsid w:val="0040567C"/>
    <w:rsid w:val="00406B5B"/>
    <w:rsid w:val="0041408C"/>
    <w:rsid w:val="004179E4"/>
    <w:rsid w:val="004238C3"/>
    <w:rsid w:val="00426610"/>
    <w:rsid w:val="00434FF2"/>
    <w:rsid w:val="0044246A"/>
    <w:rsid w:val="004436FE"/>
    <w:rsid w:val="004524B2"/>
    <w:rsid w:val="004538DB"/>
    <w:rsid w:val="004617FE"/>
    <w:rsid w:val="004704C7"/>
    <w:rsid w:val="00476F50"/>
    <w:rsid w:val="00477998"/>
    <w:rsid w:val="00480183"/>
    <w:rsid w:val="00480525"/>
    <w:rsid w:val="00482145"/>
    <w:rsid w:val="00492FC4"/>
    <w:rsid w:val="00494706"/>
    <w:rsid w:val="00495F90"/>
    <w:rsid w:val="004A2736"/>
    <w:rsid w:val="004B36EF"/>
    <w:rsid w:val="004C5B70"/>
    <w:rsid w:val="004D082B"/>
    <w:rsid w:val="004D6898"/>
    <w:rsid w:val="004D79A4"/>
    <w:rsid w:val="004E1846"/>
    <w:rsid w:val="004E2E30"/>
    <w:rsid w:val="004E354A"/>
    <w:rsid w:val="004E4C08"/>
    <w:rsid w:val="004E6A2F"/>
    <w:rsid w:val="004E6D93"/>
    <w:rsid w:val="004F7253"/>
    <w:rsid w:val="005029AE"/>
    <w:rsid w:val="0052073C"/>
    <w:rsid w:val="00520789"/>
    <w:rsid w:val="00523DE0"/>
    <w:rsid w:val="0052465A"/>
    <w:rsid w:val="00527108"/>
    <w:rsid w:val="005379AE"/>
    <w:rsid w:val="00542AC5"/>
    <w:rsid w:val="005509D8"/>
    <w:rsid w:val="005548A8"/>
    <w:rsid w:val="0055530F"/>
    <w:rsid w:val="00562857"/>
    <w:rsid w:val="00567F61"/>
    <w:rsid w:val="005703E0"/>
    <w:rsid w:val="00572B6C"/>
    <w:rsid w:val="00574562"/>
    <w:rsid w:val="005747A3"/>
    <w:rsid w:val="005766AB"/>
    <w:rsid w:val="00593F0D"/>
    <w:rsid w:val="005957AD"/>
    <w:rsid w:val="005A0593"/>
    <w:rsid w:val="005B2D01"/>
    <w:rsid w:val="005C041F"/>
    <w:rsid w:val="005C0BA1"/>
    <w:rsid w:val="005C210E"/>
    <w:rsid w:val="005C7CE5"/>
    <w:rsid w:val="005D2F68"/>
    <w:rsid w:val="005D4067"/>
    <w:rsid w:val="005D5BF6"/>
    <w:rsid w:val="005D5FF7"/>
    <w:rsid w:val="005E18F4"/>
    <w:rsid w:val="005E7719"/>
    <w:rsid w:val="005F5DB7"/>
    <w:rsid w:val="00607DDE"/>
    <w:rsid w:val="00617EDE"/>
    <w:rsid w:val="0062192C"/>
    <w:rsid w:val="00630D64"/>
    <w:rsid w:val="00631568"/>
    <w:rsid w:val="0063309D"/>
    <w:rsid w:val="00633572"/>
    <w:rsid w:val="006431EC"/>
    <w:rsid w:val="00643C1E"/>
    <w:rsid w:val="0065252C"/>
    <w:rsid w:val="00653F8C"/>
    <w:rsid w:val="00660F97"/>
    <w:rsid w:val="00684E1E"/>
    <w:rsid w:val="006858AA"/>
    <w:rsid w:val="0068660C"/>
    <w:rsid w:val="00690025"/>
    <w:rsid w:val="00690F2E"/>
    <w:rsid w:val="00694AB7"/>
    <w:rsid w:val="006A0118"/>
    <w:rsid w:val="006A24D5"/>
    <w:rsid w:val="006A2945"/>
    <w:rsid w:val="006A2D15"/>
    <w:rsid w:val="006A70B9"/>
    <w:rsid w:val="006B16CA"/>
    <w:rsid w:val="006B3F58"/>
    <w:rsid w:val="006C29EC"/>
    <w:rsid w:val="006C2D6F"/>
    <w:rsid w:val="006C414E"/>
    <w:rsid w:val="006C536F"/>
    <w:rsid w:val="006C5B15"/>
    <w:rsid w:val="006C5C7D"/>
    <w:rsid w:val="006C6DA0"/>
    <w:rsid w:val="006D0837"/>
    <w:rsid w:val="006D10DC"/>
    <w:rsid w:val="006E0792"/>
    <w:rsid w:val="006E16DC"/>
    <w:rsid w:val="006E39A2"/>
    <w:rsid w:val="006E47D1"/>
    <w:rsid w:val="006E6991"/>
    <w:rsid w:val="006E6F46"/>
    <w:rsid w:val="006F16AB"/>
    <w:rsid w:val="006F298C"/>
    <w:rsid w:val="006F4122"/>
    <w:rsid w:val="006F5914"/>
    <w:rsid w:val="006F7454"/>
    <w:rsid w:val="007003C5"/>
    <w:rsid w:val="007023FF"/>
    <w:rsid w:val="00713B24"/>
    <w:rsid w:val="007153CA"/>
    <w:rsid w:val="007230E8"/>
    <w:rsid w:val="00730EC4"/>
    <w:rsid w:val="007408BA"/>
    <w:rsid w:val="00740994"/>
    <w:rsid w:val="00745D74"/>
    <w:rsid w:val="00747883"/>
    <w:rsid w:val="00756A91"/>
    <w:rsid w:val="00766E1F"/>
    <w:rsid w:val="00767909"/>
    <w:rsid w:val="00780E88"/>
    <w:rsid w:val="00783CB5"/>
    <w:rsid w:val="00795B94"/>
    <w:rsid w:val="0079610B"/>
    <w:rsid w:val="007A58CB"/>
    <w:rsid w:val="007B1362"/>
    <w:rsid w:val="007C7B7A"/>
    <w:rsid w:val="007D5C5F"/>
    <w:rsid w:val="007E722F"/>
    <w:rsid w:val="007F2D65"/>
    <w:rsid w:val="007F5EBD"/>
    <w:rsid w:val="007F745A"/>
    <w:rsid w:val="00802A21"/>
    <w:rsid w:val="0080374F"/>
    <w:rsid w:val="00811258"/>
    <w:rsid w:val="00811C8E"/>
    <w:rsid w:val="00820214"/>
    <w:rsid w:val="00825AA5"/>
    <w:rsid w:val="008275DF"/>
    <w:rsid w:val="00831C95"/>
    <w:rsid w:val="00840BAB"/>
    <w:rsid w:val="008414AB"/>
    <w:rsid w:val="008423AA"/>
    <w:rsid w:val="008447F9"/>
    <w:rsid w:val="00845ACE"/>
    <w:rsid w:val="0085119B"/>
    <w:rsid w:val="00851F2E"/>
    <w:rsid w:val="008550E2"/>
    <w:rsid w:val="0085528D"/>
    <w:rsid w:val="00855A65"/>
    <w:rsid w:val="0086715D"/>
    <w:rsid w:val="00870850"/>
    <w:rsid w:val="00874324"/>
    <w:rsid w:val="00877B44"/>
    <w:rsid w:val="008841B8"/>
    <w:rsid w:val="00885B40"/>
    <w:rsid w:val="00885D8F"/>
    <w:rsid w:val="00894560"/>
    <w:rsid w:val="00897562"/>
    <w:rsid w:val="008A30C3"/>
    <w:rsid w:val="008A6B42"/>
    <w:rsid w:val="008B00E9"/>
    <w:rsid w:val="008B1374"/>
    <w:rsid w:val="008B5DC0"/>
    <w:rsid w:val="008C090F"/>
    <w:rsid w:val="008C0A59"/>
    <w:rsid w:val="008C4F38"/>
    <w:rsid w:val="008C5DD6"/>
    <w:rsid w:val="008C75DB"/>
    <w:rsid w:val="008D1004"/>
    <w:rsid w:val="008D1B55"/>
    <w:rsid w:val="008D43E8"/>
    <w:rsid w:val="008E18BD"/>
    <w:rsid w:val="008E5349"/>
    <w:rsid w:val="008E5578"/>
    <w:rsid w:val="008E6C70"/>
    <w:rsid w:val="008F3733"/>
    <w:rsid w:val="008F39C5"/>
    <w:rsid w:val="008F542C"/>
    <w:rsid w:val="00901532"/>
    <w:rsid w:val="00901DB1"/>
    <w:rsid w:val="0092190A"/>
    <w:rsid w:val="00921CD4"/>
    <w:rsid w:val="00924781"/>
    <w:rsid w:val="00924D4C"/>
    <w:rsid w:val="00933065"/>
    <w:rsid w:val="00937E23"/>
    <w:rsid w:val="00941854"/>
    <w:rsid w:val="00942D44"/>
    <w:rsid w:val="00942F2E"/>
    <w:rsid w:val="009447DF"/>
    <w:rsid w:val="0095084C"/>
    <w:rsid w:val="00955617"/>
    <w:rsid w:val="009572C9"/>
    <w:rsid w:val="00957897"/>
    <w:rsid w:val="009579F6"/>
    <w:rsid w:val="00962161"/>
    <w:rsid w:val="00973820"/>
    <w:rsid w:val="00973F8F"/>
    <w:rsid w:val="00980B7A"/>
    <w:rsid w:val="00981A57"/>
    <w:rsid w:val="00984051"/>
    <w:rsid w:val="00993AAD"/>
    <w:rsid w:val="00993CED"/>
    <w:rsid w:val="00994099"/>
    <w:rsid w:val="009A232D"/>
    <w:rsid w:val="009A33E4"/>
    <w:rsid w:val="009A3C24"/>
    <w:rsid w:val="009A7204"/>
    <w:rsid w:val="009A7392"/>
    <w:rsid w:val="009B0B5D"/>
    <w:rsid w:val="009B21C4"/>
    <w:rsid w:val="009B78D3"/>
    <w:rsid w:val="009C74DC"/>
    <w:rsid w:val="009D308D"/>
    <w:rsid w:val="009D7F16"/>
    <w:rsid w:val="009E0BB5"/>
    <w:rsid w:val="009E1950"/>
    <w:rsid w:val="009E248B"/>
    <w:rsid w:val="009E57CB"/>
    <w:rsid w:val="00A02F03"/>
    <w:rsid w:val="00A04908"/>
    <w:rsid w:val="00A1060E"/>
    <w:rsid w:val="00A113EE"/>
    <w:rsid w:val="00A11E33"/>
    <w:rsid w:val="00A1371B"/>
    <w:rsid w:val="00A17F30"/>
    <w:rsid w:val="00A2201B"/>
    <w:rsid w:val="00A24E00"/>
    <w:rsid w:val="00A3134D"/>
    <w:rsid w:val="00A36ABC"/>
    <w:rsid w:val="00A37370"/>
    <w:rsid w:val="00A37C3F"/>
    <w:rsid w:val="00A405E1"/>
    <w:rsid w:val="00A413BA"/>
    <w:rsid w:val="00A448E2"/>
    <w:rsid w:val="00A47567"/>
    <w:rsid w:val="00A501F3"/>
    <w:rsid w:val="00A52786"/>
    <w:rsid w:val="00A5318F"/>
    <w:rsid w:val="00A54A12"/>
    <w:rsid w:val="00A55B20"/>
    <w:rsid w:val="00A601CB"/>
    <w:rsid w:val="00A64444"/>
    <w:rsid w:val="00A67AAB"/>
    <w:rsid w:val="00A70682"/>
    <w:rsid w:val="00A71047"/>
    <w:rsid w:val="00A77B81"/>
    <w:rsid w:val="00A8276D"/>
    <w:rsid w:val="00A84111"/>
    <w:rsid w:val="00A84860"/>
    <w:rsid w:val="00A906B3"/>
    <w:rsid w:val="00A95F44"/>
    <w:rsid w:val="00A97314"/>
    <w:rsid w:val="00AA1E15"/>
    <w:rsid w:val="00AA7B1A"/>
    <w:rsid w:val="00AB05DF"/>
    <w:rsid w:val="00AB2E82"/>
    <w:rsid w:val="00AB2F6E"/>
    <w:rsid w:val="00AB4B51"/>
    <w:rsid w:val="00AB7DC0"/>
    <w:rsid w:val="00AC15B9"/>
    <w:rsid w:val="00AC1F0C"/>
    <w:rsid w:val="00AD3618"/>
    <w:rsid w:val="00AE0BD9"/>
    <w:rsid w:val="00AE7A4E"/>
    <w:rsid w:val="00AF2D9A"/>
    <w:rsid w:val="00AF3A9A"/>
    <w:rsid w:val="00B057F0"/>
    <w:rsid w:val="00B14309"/>
    <w:rsid w:val="00B178D6"/>
    <w:rsid w:val="00B2063C"/>
    <w:rsid w:val="00B23DEB"/>
    <w:rsid w:val="00B36270"/>
    <w:rsid w:val="00B411ED"/>
    <w:rsid w:val="00B41522"/>
    <w:rsid w:val="00B42281"/>
    <w:rsid w:val="00B4715D"/>
    <w:rsid w:val="00B474A5"/>
    <w:rsid w:val="00B50138"/>
    <w:rsid w:val="00B55150"/>
    <w:rsid w:val="00B60135"/>
    <w:rsid w:val="00B60D88"/>
    <w:rsid w:val="00B66111"/>
    <w:rsid w:val="00B66227"/>
    <w:rsid w:val="00B902E7"/>
    <w:rsid w:val="00B90E69"/>
    <w:rsid w:val="00B9165D"/>
    <w:rsid w:val="00B91692"/>
    <w:rsid w:val="00B94800"/>
    <w:rsid w:val="00B970F2"/>
    <w:rsid w:val="00B97112"/>
    <w:rsid w:val="00B971BA"/>
    <w:rsid w:val="00B97CD5"/>
    <w:rsid w:val="00B97FAA"/>
    <w:rsid w:val="00BA0601"/>
    <w:rsid w:val="00BA1673"/>
    <w:rsid w:val="00BB29AB"/>
    <w:rsid w:val="00BC38B8"/>
    <w:rsid w:val="00BD0FA7"/>
    <w:rsid w:val="00BD1F70"/>
    <w:rsid w:val="00BE1FAB"/>
    <w:rsid w:val="00BE43B8"/>
    <w:rsid w:val="00BF786F"/>
    <w:rsid w:val="00C05E39"/>
    <w:rsid w:val="00C05FF2"/>
    <w:rsid w:val="00C07566"/>
    <w:rsid w:val="00C14474"/>
    <w:rsid w:val="00C34ABD"/>
    <w:rsid w:val="00C447CA"/>
    <w:rsid w:val="00C45D03"/>
    <w:rsid w:val="00C525EC"/>
    <w:rsid w:val="00C52C4C"/>
    <w:rsid w:val="00C64103"/>
    <w:rsid w:val="00C64E27"/>
    <w:rsid w:val="00C650A1"/>
    <w:rsid w:val="00C7000F"/>
    <w:rsid w:val="00C70CCF"/>
    <w:rsid w:val="00C75509"/>
    <w:rsid w:val="00C75A1B"/>
    <w:rsid w:val="00C84402"/>
    <w:rsid w:val="00C84DBE"/>
    <w:rsid w:val="00C90C49"/>
    <w:rsid w:val="00C91A7F"/>
    <w:rsid w:val="00C92802"/>
    <w:rsid w:val="00C94E79"/>
    <w:rsid w:val="00C97A51"/>
    <w:rsid w:val="00CA3F93"/>
    <w:rsid w:val="00CA43C8"/>
    <w:rsid w:val="00CB0F72"/>
    <w:rsid w:val="00CB1921"/>
    <w:rsid w:val="00CC5CBA"/>
    <w:rsid w:val="00CD4028"/>
    <w:rsid w:val="00CD7EDF"/>
    <w:rsid w:val="00CE2489"/>
    <w:rsid w:val="00CF2954"/>
    <w:rsid w:val="00CF29BF"/>
    <w:rsid w:val="00CF6144"/>
    <w:rsid w:val="00CF6811"/>
    <w:rsid w:val="00D00529"/>
    <w:rsid w:val="00D00AE0"/>
    <w:rsid w:val="00D077DB"/>
    <w:rsid w:val="00D219F6"/>
    <w:rsid w:val="00D220B4"/>
    <w:rsid w:val="00D22336"/>
    <w:rsid w:val="00D230BF"/>
    <w:rsid w:val="00D2795D"/>
    <w:rsid w:val="00D27BA4"/>
    <w:rsid w:val="00D45053"/>
    <w:rsid w:val="00D46940"/>
    <w:rsid w:val="00D55207"/>
    <w:rsid w:val="00D55B61"/>
    <w:rsid w:val="00D62B0F"/>
    <w:rsid w:val="00D67496"/>
    <w:rsid w:val="00D77247"/>
    <w:rsid w:val="00D80B4C"/>
    <w:rsid w:val="00D90D9C"/>
    <w:rsid w:val="00D91C2B"/>
    <w:rsid w:val="00D91D9C"/>
    <w:rsid w:val="00D962A5"/>
    <w:rsid w:val="00DA0C43"/>
    <w:rsid w:val="00DA1763"/>
    <w:rsid w:val="00DA213C"/>
    <w:rsid w:val="00DB0E98"/>
    <w:rsid w:val="00DB67DB"/>
    <w:rsid w:val="00DC230D"/>
    <w:rsid w:val="00DC44FE"/>
    <w:rsid w:val="00DE1200"/>
    <w:rsid w:val="00DE2CB8"/>
    <w:rsid w:val="00DE6BDB"/>
    <w:rsid w:val="00DF7F80"/>
    <w:rsid w:val="00E00BAA"/>
    <w:rsid w:val="00E016B7"/>
    <w:rsid w:val="00E03198"/>
    <w:rsid w:val="00E06F80"/>
    <w:rsid w:val="00E07380"/>
    <w:rsid w:val="00E12C6E"/>
    <w:rsid w:val="00E22D95"/>
    <w:rsid w:val="00E267F7"/>
    <w:rsid w:val="00E323B4"/>
    <w:rsid w:val="00E3567D"/>
    <w:rsid w:val="00E44578"/>
    <w:rsid w:val="00E565DE"/>
    <w:rsid w:val="00E567FC"/>
    <w:rsid w:val="00E60FCD"/>
    <w:rsid w:val="00E64F3C"/>
    <w:rsid w:val="00E67E41"/>
    <w:rsid w:val="00E7659B"/>
    <w:rsid w:val="00E85F48"/>
    <w:rsid w:val="00E94657"/>
    <w:rsid w:val="00E96F99"/>
    <w:rsid w:val="00EA24B4"/>
    <w:rsid w:val="00EB0722"/>
    <w:rsid w:val="00EB3F1B"/>
    <w:rsid w:val="00EB6B46"/>
    <w:rsid w:val="00EB71E6"/>
    <w:rsid w:val="00ED79CF"/>
    <w:rsid w:val="00EE09A0"/>
    <w:rsid w:val="00EE416B"/>
    <w:rsid w:val="00EF4DE6"/>
    <w:rsid w:val="00F0050E"/>
    <w:rsid w:val="00F05D0D"/>
    <w:rsid w:val="00F128F7"/>
    <w:rsid w:val="00F15DAF"/>
    <w:rsid w:val="00F178AB"/>
    <w:rsid w:val="00F17965"/>
    <w:rsid w:val="00F225E8"/>
    <w:rsid w:val="00F22871"/>
    <w:rsid w:val="00F30C5C"/>
    <w:rsid w:val="00F317D6"/>
    <w:rsid w:val="00F3450B"/>
    <w:rsid w:val="00F43673"/>
    <w:rsid w:val="00F44F90"/>
    <w:rsid w:val="00F45501"/>
    <w:rsid w:val="00F51B49"/>
    <w:rsid w:val="00F61ABA"/>
    <w:rsid w:val="00F65858"/>
    <w:rsid w:val="00F71A0D"/>
    <w:rsid w:val="00F75CFC"/>
    <w:rsid w:val="00F93484"/>
    <w:rsid w:val="00F96161"/>
    <w:rsid w:val="00FA1EA3"/>
    <w:rsid w:val="00FA5A09"/>
    <w:rsid w:val="00FB0C55"/>
    <w:rsid w:val="00FB7D13"/>
    <w:rsid w:val="00FC5120"/>
    <w:rsid w:val="00FC544E"/>
    <w:rsid w:val="00FD3396"/>
    <w:rsid w:val="00FE00F8"/>
    <w:rsid w:val="00FE031E"/>
    <w:rsid w:val="00FE1D93"/>
    <w:rsid w:val="00FE6600"/>
    <w:rsid w:val="00FF0431"/>
    <w:rsid w:val="05441916"/>
    <w:rsid w:val="05EF03F3"/>
    <w:rsid w:val="0695448B"/>
    <w:rsid w:val="07837E23"/>
    <w:rsid w:val="09A12814"/>
    <w:rsid w:val="0A2E3526"/>
    <w:rsid w:val="0AE20526"/>
    <w:rsid w:val="0CDB7878"/>
    <w:rsid w:val="0D101CE8"/>
    <w:rsid w:val="0F757D18"/>
    <w:rsid w:val="112C2388"/>
    <w:rsid w:val="114B36C6"/>
    <w:rsid w:val="1B357960"/>
    <w:rsid w:val="1E2F1ED3"/>
    <w:rsid w:val="1FBF73F2"/>
    <w:rsid w:val="22D857D0"/>
    <w:rsid w:val="265C75F8"/>
    <w:rsid w:val="26AD81BF"/>
    <w:rsid w:val="272E20CC"/>
    <w:rsid w:val="28750E72"/>
    <w:rsid w:val="2AC93824"/>
    <w:rsid w:val="2B7749CF"/>
    <w:rsid w:val="2C06665D"/>
    <w:rsid w:val="2CFFD367"/>
    <w:rsid w:val="2F236ED4"/>
    <w:rsid w:val="2FEB1C0F"/>
    <w:rsid w:val="35564500"/>
    <w:rsid w:val="37215DAE"/>
    <w:rsid w:val="3772660A"/>
    <w:rsid w:val="37AA6280"/>
    <w:rsid w:val="37FF79CF"/>
    <w:rsid w:val="399A1E48"/>
    <w:rsid w:val="3C65673D"/>
    <w:rsid w:val="3CFE91AE"/>
    <w:rsid w:val="3E6F0BE6"/>
    <w:rsid w:val="3FE787A4"/>
    <w:rsid w:val="3FFE0E56"/>
    <w:rsid w:val="434D7F2B"/>
    <w:rsid w:val="44F0294C"/>
    <w:rsid w:val="452F1280"/>
    <w:rsid w:val="48190138"/>
    <w:rsid w:val="49F90FE1"/>
    <w:rsid w:val="4A051356"/>
    <w:rsid w:val="4BB9493D"/>
    <w:rsid w:val="4BFFAA3C"/>
    <w:rsid w:val="4CD10930"/>
    <w:rsid w:val="4DB7A8D9"/>
    <w:rsid w:val="4DBB7038"/>
    <w:rsid w:val="4EDB3CEE"/>
    <w:rsid w:val="4F8A40DA"/>
    <w:rsid w:val="506D21A1"/>
    <w:rsid w:val="54DD9098"/>
    <w:rsid w:val="576FDC64"/>
    <w:rsid w:val="57FF5C3F"/>
    <w:rsid w:val="5B7FA1A3"/>
    <w:rsid w:val="5C8F7650"/>
    <w:rsid w:val="5EE720F3"/>
    <w:rsid w:val="5F7DBE61"/>
    <w:rsid w:val="5FBEE78F"/>
    <w:rsid w:val="5FDF5C61"/>
    <w:rsid w:val="5FF84562"/>
    <w:rsid w:val="5FFE2507"/>
    <w:rsid w:val="608E59B3"/>
    <w:rsid w:val="61027B78"/>
    <w:rsid w:val="62E247E3"/>
    <w:rsid w:val="64004D98"/>
    <w:rsid w:val="64C411EE"/>
    <w:rsid w:val="657B3D66"/>
    <w:rsid w:val="672FB8A3"/>
    <w:rsid w:val="677E7300"/>
    <w:rsid w:val="69337A12"/>
    <w:rsid w:val="6C24541E"/>
    <w:rsid w:val="6E993E4A"/>
    <w:rsid w:val="6EDB0A50"/>
    <w:rsid w:val="6FCDE240"/>
    <w:rsid w:val="6FFD36D3"/>
    <w:rsid w:val="73DFABDC"/>
    <w:rsid w:val="74C1D334"/>
    <w:rsid w:val="74FF670B"/>
    <w:rsid w:val="767F166B"/>
    <w:rsid w:val="775F2911"/>
    <w:rsid w:val="7777E458"/>
    <w:rsid w:val="77FE3A89"/>
    <w:rsid w:val="77FF674A"/>
    <w:rsid w:val="784F4D5D"/>
    <w:rsid w:val="78D4A4F2"/>
    <w:rsid w:val="79FCFBD5"/>
    <w:rsid w:val="7A77D427"/>
    <w:rsid w:val="7ADE821C"/>
    <w:rsid w:val="7AFFCD1C"/>
    <w:rsid w:val="7B7EBDE2"/>
    <w:rsid w:val="7CEF9500"/>
    <w:rsid w:val="7DB59E4D"/>
    <w:rsid w:val="7DBF55B5"/>
    <w:rsid w:val="7DD18B1E"/>
    <w:rsid w:val="7DF1AB76"/>
    <w:rsid w:val="7DFDB11D"/>
    <w:rsid w:val="7E7F9C91"/>
    <w:rsid w:val="7ECC4CC6"/>
    <w:rsid w:val="7EFFF1CF"/>
    <w:rsid w:val="7F11728F"/>
    <w:rsid w:val="7F35C81E"/>
    <w:rsid w:val="7F4F482E"/>
    <w:rsid w:val="7F5BCD4F"/>
    <w:rsid w:val="7F7CA80E"/>
    <w:rsid w:val="7FC7CBA2"/>
    <w:rsid w:val="7FDC08A0"/>
    <w:rsid w:val="7FEF715C"/>
    <w:rsid w:val="7FF772E5"/>
    <w:rsid w:val="7FFECF90"/>
    <w:rsid w:val="7FFF3DF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668896B"/>
  <w15:docId w15:val="{B8EEF63E-BE3E-43E2-AAA2-5717AF9B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uiPriority="0" w:qFormat="1"/>
    <w:lsdException w:name="annotation text" w:semiHidden="1" w:unhideWhenUsed="1" w:qFormat="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0" w:qFormat="1"/>
    <w:lsdException w:name="Emphasis" w:locked="1" w:uiPriority="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sz w:val="18"/>
      <w:szCs w:val="18"/>
    </w:rPr>
  </w:style>
  <w:style w:type="paragraph" w:styleId="a5">
    <w:name w:val="annotation text"/>
    <w:basedOn w:val="a"/>
    <w:link w:val="a6"/>
    <w:uiPriority w:val="99"/>
    <w:semiHidden/>
    <w:unhideWhenUsed/>
    <w:qFormat/>
    <w:pPr>
      <w:jc w:val="left"/>
    </w:pPr>
  </w:style>
  <w:style w:type="paragraph" w:styleId="a7">
    <w:name w:val="endnote text"/>
    <w:basedOn w:val="a"/>
    <w:link w:val="a8"/>
    <w:qFormat/>
    <w:pPr>
      <w:snapToGrid w:val="0"/>
      <w:spacing w:after="160" w:line="278" w:lineRule="auto"/>
      <w:jc w:val="left"/>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qFormat/>
    <w:pPr>
      <w:tabs>
        <w:tab w:val="center" w:pos="4153"/>
        <w:tab w:val="right" w:pos="8306"/>
      </w:tabs>
      <w:snapToGrid w:val="0"/>
      <w:jc w:val="left"/>
    </w:pPr>
    <w:rPr>
      <w:sz w:val="18"/>
      <w:szCs w:val="18"/>
    </w:rPr>
  </w:style>
  <w:style w:type="paragraph" w:styleId="ad">
    <w:name w:val="header"/>
    <w:basedOn w:val="a"/>
    <w:link w:val="ae"/>
    <w:uiPriority w:val="99"/>
    <w:qFormat/>
    <w:pPr>
      <w:pBdr>
        <w:bottom w:val="single" w:sz="6" w:space="1" w:color="auto"/>
      </w:pBdr>
      <w:tabs>
        <w:tab w:val="center" w:pos="4153"/>
        <w:tab w:val="right" w:pos="8306"/>
      </w:tabs>
      <w:snapToGrid w:val="0"/>
      <w:jc w:val="center"/>
    </w:pPr>
    <w:rPr>
      <w:sz w:val="18"/>
      <w:szCs w:val="18"/>
    </w:rPr>
  </w:style>
  <w:style w:type="paragraph" w:styleId="af">
    <w:name w:val="footnote text"/>
    <w:basedOn w:val="a"/>
    <w:link w:val="af0"/>
    <w:qFormat/>
    <w:pPr>
      <w:snapToGrid w:val="0"/>
      <w:spacing w:after="160" w:line="278" w:lineRule="auto"/>
      <w:jc w:val="left"/>
    </w:pPr>
    <w:rPr>
      <w:sz w:val="18"/>
    </w:rPr>
  </w:style>
  <w:style w:type="paragraph" w:styleId="af1">
    <w:name w:val="annotation subject"/>
    <w:basedOn w:val="a5"/>
    <w:next w:val="a5"/>
    <w:link w:val="af2"/>
    <w:uiPriority w:val="99"/>
    <w:semiHidden/>
    <w:unhideWhenUsed/>
    <w:qFormat/>
    <w:rPr>
      <w:b/>
      <w:bCs/>
    </w:rPr>
  </w:style>
  <w:style w:type="character" w:styleId="af3">
    <w:name w:val="endnote reference"/>
    <w:basedOn w:val="a0"/>
    <w:qFormat/>
    <w:rPr>
      <w:vertAlign w:val="superscript"/>
    </w:rPr>
  </w:style>
  <w:style w:type="character" w:styleId="af4">
    <w:name w:val="Hyperlink"/>
    <w:basedOn w:val="a0"/>
    <w:uiPriority w:val="99"/>
    <w:qFormat/>
    <w:rPr>
      <w:color w:val="0000FF"/>
      <w:u w:val="single"/>
    </w:rPr>
  </w:style>
  <w:style w:type="character" w:styleId="af5">
    <w:name w:val="annotation reference"/>
    <w:basedOn w:val="a0"/>
    <w:uiPriority w:val="99"/>
    <w:semiHidden/>
    <w:unhideWhenUsed/>
    <w:qFormat/>
    <w:rPr>
      <w:sz w:val="21"/>
      <w:szCs w:val="21"/>
    </w:rPr>
  </w:style>
  <w:style w:type="character" w:customStyle="1" w:styleId="ae">
    <w:name w:val="页眉 字符"/>
    <w:basedOn w:val="a0"/>
    <w:link w:val="ad"/>
    <w:uiPriority w:val="99"/>
    <w:qFormat/>
    <w:locked/>
    <w:rPr>
      <w:kern w:val="2"/>
      <w:sz w:val="18"/>
      <w:szCs w:val="18"/>
    </w:rPr>
  </w:style>
  <w:style w:type="character" w:customStyle="1" w:styleId="ac">
    <w:name w:val="页脚 字符"/>
    <w:basedOn w:val="a0"/>
    <w:link w:val="ab"/>
    <w:uiPriority w:val="99"/>
    <w:qFormat/>
    <w:locked/>
    <w:rPr>
      <w:kern w:val="2"/>
      <w:sz w:val="18"/>
      <w:szCs w:val="18"/>
    </w:rPr>
  </w:style>
  <w:style w:type="paragraph" w:styleId="af6">
    <w:name w:val="List Paragraph"/>
    <w:basedOn w:val="a"/>
    <w:uiPriority w:val="99"/>
    <w:qFormat/>
    <w:pPr>
      <w:ind w:firstLineChars="200" w:firstLine="420"/>
    </w:pPr>
  </w:style>
  <w:style w:type="character" w:customStyle="1" w:styleId="aa">
    <w:name w:val="批注框文本 字符"/>
    <w:basedOn w:val="a0"/>
    <w:link w:val="a9"/>
    <w:uiPriority w:val="99"/>
    <w:semiHidden/>
    <w:qFormat/>
    <w:rPr>
      <w:kern w:val="2"/>
      <w:sz w:val="18"/>
      <w:szCs w:val="18"/>
    </w:rPr>
  </w:style>
  <w:style w:type="character" w:customStyle="1" w:styleId="a4">
    <w:name w:val="文档结构图 字符"/>
    <w:basedOn w:val="a0"/>
    <w:link w:val="a3"/>
    <w:uiPriority w:val="99"/>
    <w:semiHidden/>
    <w:qFormat/>
    <w:rPr>
      <w:rFonts w:ascii="宋体"/>
      <w:kern w:val="2"/>
      <w:sz w:val="18"/>
      <w:szCs w:val="18"/>
    </w:rPr>
  </w:style>
  <w:style w:type="paragraph" w:customStyle="1" w:styleId="Style13">
    <w:name w:val="_Style 13"/>
    <w:basedOn w:val="a"/>
    <w:next w:val="af6"/>
    <w:uiPriority w:val="34"/>
    <w:qFormat/>
    <w:pPr>
      <w:widowControl/>
      <w:spacing w:line="560" w:lineRule="exact"/>
      <w:ind w:firstLineChars="200" w:firstLine="420"/>
    </w:pPr>
    <w:rPr>
      <w:rFonts w:eastAsia="仿宋"/>
      <w:sz w:val="32"/>
      <w:szCs w:val="22"/>
    </w:rPr>
  </w:style>
  <w:style w:type="character" w:customStyle="1" w:styleId="a6">
    <w:name w:val="批注文字 字符"/>
    <w:basedOn w:val="a0"/>
    <w:link w:val="a5"/>
    <w:uiPriority w:val="99"/>
    <w:semiHidden/>
    <w:qFormat/>
    <w:rPr>
      <w:kern w:val="2"/>
      <w:sz w:val="21"/>
      <w:szCs w:val="21"/>
    </w:rPr>
  </w:style>
  <w:style w:type="character" w:customStyle="1" w:styleId="af2">
    <w:name w:val="批注主题 字符"/>
    <w:basedOn w:val="a6"/>
    <w:link w:val="af1"/>
    <w:uiPriority w:val="99"/>
    <w:semiHidden/>
    <w:qFormat/>
    <w:rPr>
      <w:b/>
      <w:bCs/>
      <w:kern w:val="2"/>
      <w:sz w:val="21"/>
      <w:szCs w:val="21"/>
    </w:rPr>
  </w:style>
  <w:style w:type="character" w:customStyle="1" w:styleId="1HT">
    <w:name w:val="1HT 字符"/>
    <w:basedOn w:val="a0"/>
    <w:link w:val="1HT0"/>
    <w:qFormat/>
    <w:rPr>
      <w:rFonts w:ascii="Times New Roman bold" w:eastAsia="方正黑体_GBK" w:hAnsi="Times New Roman bold"/>
    </w:rPr>
  </w:style>
  <w:style w:type="paragraph" w:customStyle="1" w:styleId="1HT0">
    <w:name w:val="1HT"/>
    <w:basedOn w:val="a"/>
    <w:link w:val="1HT"/>
    <w:qFormat/>
    <w:pPr>
      <w:ind w:firstLine="422"/>
    </w:pPr>
    <w:rPr>
      <w:rFonts w:ascii="Times New Roman bold" w:eastAsia="方正黑体_GBK" w:hAnsi="Times New Roman bold"/>
    </w:rPr>
  </w:style>
  <w:style w:type="character" w:customStyle="1" w:styleId="a8">
    <w:name w:val="尾注文本 字符"/>
    <w:basedOn w:val="a0"/>
    <w:link w:val="a7"/>
    <w:qFormat/>
    <w:rPr>
      <w:kern w:val="2"/>
      <w:sz w:val="21"/>
      <w:szCs w:val="21"/>
    </w:rPr>
  </w:style>
  <w:style w:type="character" w:customStyle="1" w:styleId="af0">
    <w:name w:val="脚注文本 字符"/>
    <w:basedOn w:val="a0"/>
    <w:link w:val="af"/>
    <w:qFormat/>
    <w:rPr>
      <w:kern w:val="2"/>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3377</Words>
  <Characters>19250</Characters>
  <Application>Microsoft Office Word</Application>
  <DocSecurity>8</DocSecurity>
  <Lines>160</Lines>
  <Paragraphs>45</Paragraphs>
  <ScaleCrop>false</ScaleCrop>
  <Company>nsfc</Company>
  <LinksUpToDate>false</LinksUpToDate>
  <CharactersWithSpaces>22582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面上项目申请书撰写提纲</dc:title>
  <dc:creator>刘容光</dc:creator>
  <cp:lastModifiedBy>星辰 兰</cp:lastModifiedBy>
  <cp:revision>2</cp:revision>
  <cp:lastPrinted>2025-03-17T02:51:00Z</cp:lastPrinted>
  <dcterms:created xsi:type="dcterms:W3CDTF">2025-06-09T14:07:00Z</dcterms:created>
  <dcterms:modified xsi:type="dcterms:W3CDTF">2025-06-09T14:07:00Z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8B4DB1325BBA4B118318143D81F642B3_13</vt:lpwstr>
  </property>
  <property fmtid="{D5CDD505-2E9C-101B-9397-08002B2CF9AE}" pid="4" name="KSOTemplateDocerSaveRecord">
    <vt:lpwstr>eyJoZGlkIjoiODAxZDZmNThjMzM2ZDZkMmFkNWZhNzQ3ODc1Nzk4NDciLCJ1c2VySWQiOiI2Nzc0MTIzOTMifQ==</vt:lpwstr>
  </property>
</Properties>
</file>