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1C8DA" w14:textId="44317DE4" w:rsidR="009F36DD" w:rsidRDefault="009F36DD" w:rsidP="009F36DD">
      <w:pPr>
        <w:pStyle w:val="1"/>
      </w:pPr>
      <w:r>
        <w:rPr>
          <w:rFonts w:hint="eastAsia"/>
        </w:rPr>
        <w:t>一、首页</w:t>
      </w:r>
    </w:p>
    <w:p w14:paraId="4C25343C" w14:textId="51F76BF5" w:rsidR="009F36DD" w:rsidRDefault="009F36DD">
      <w:r>
        <w:rPr>
          <w:noProof/>
        </w:rPr>
        <w:drawing>
          <wp:inline distT="0" distB="0" distL="0" distR="0" wp14:anchorId="5E882A2F" wp14:editId="1186A9F5">
            <wp:extent cx="5274310" cy="25628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562860"/>
                    </a:xfrm>
                    <a:prstGeom prst="rect">
                      <a:avLst/>
                    </a:prstGeom>
                  </pic:spPr>
                </pic:pic>
              </a:graphicData>
            </a:graphic>
          </wp:inline>
        </w:drawing>
      </w:r>
    </w:p>
    <w:p w14:paraId="1BF568F4" w14:textId="77777777" w:rsidR="009F36DD" w:rsidRDefault="009F36DD"/>
    <w:p w14:paraId="0742CAE4" w14:textId="77777777" w:rsidR="009F36DD" w:rsidRDefault="009F36DD" w:rsidP="009F36DD">
      <w:pPr>
        <w:pStyle w:val="1"/>
      </w:pPr>
      <w:r>
        <w:rPr>
          <w:rFonts w:hint="eastAsia"/>
        </w:rPr>
        <w:t>二、硕博论文</w:t>
      </w:r>
    </w:p>
    <w:p w14:paraId="729298F5" w14:textId="64F604F2" w:rsidR="009F36DD" w:rsidRDefault="009F36DD">
      <w:r>
        <w:rPr>
          <w:noProof/>
        </w:rPr>
        <w:drawing>
          <wp:inline distT="0" distB="0" distL="0" distR="0" wp14:anchorId="4D28B39F" wp14:editId="55B4370D">
            <wp:extent cx="5274310" cy="25673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567305"/>
                    </a:xfrm>
                    <a:prstGeom prst="rect">
                      <a:avLst/>
                    </a:prstGeom>
                  </pic:spPr>
                </pic:pic>
              </a:graphicData>
            </a:graphic>
          </wp:inline>
        </w:drawing>
      </w:r>
    </w:p>
    <w:p w14:paraId="5E25813B" w14:textId="77777777" w:rsidR="009F36DD" w:rsidRDefault="009F36DD">
      <w:r>
        <w:rPr>
          <w:rFonts w:hint="eastAsia"/>
        </w:rPr>
        <w:t>点击进入后</w:t>
      </w:r>
    </w:p>
    <w:p w14:paraId="103F074C" w14:textId="7DB0C263" w:rsidR="00A873D2" w:rsidRDefault="009F36DD">
      <w:r>
        <w:rPr>
          <w:noProof/>
        </w:rPr>
        <w:lastRenderedPageBreak/>
        <w:drawing>
          <wp:inline distT="0" distB="0" distL="0" distR="0" wp14:anchorId="16411C42" wp14:editId="7B212683">
            <wp:extent cx="5274310" cy="2550160"/>
            <wp:effectExtent l="0" t="0" r="254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550160"/>
                    </a:xfrm>
                    <a:prstGeom prst="rect">
                      <a:avLst/>
                    </a:prstGeom>
                  </pic:spPr>
                </pic:pic>
              </a:graphicData>
            </a:graphic>
          </wp:inline>
        </w:drawing>
      </w:r>
    </w:p>
    <w:p w14:paraId="011E59E9" w14:textId="50ED8479" w:rsidR="009F36DD" w:rsidRDefault="009F36DD">
      <w:r w:rsidRPr="009F36DD">
        <w:rPr>
          <w:rFonts w:hint="eastAsia"/>
          <w:b/>
          <w:bCs/>
        </w:rPr>
        <w:t>标题</w:t>
      </w:r>
      <w:r>
        <w:rPr>
          <w:rFonts w:hint="eastAsia"/>
        </w:rPr>
        <w:t>：</w:t>
      </w:r>
      <w:r w:rsidRPr="009F36DD">
        <w:rPr>
          <w:rFonts w:hint="eastAsia"/>
        </w:rPr>
        <w:t>低蛋白日粮添加赖氨酸对育肥猪生长性能、血清生化指标及氮排放的影响</w:t>
      </w:r>
    </w:p>
    <w:p w14:paraId="43000201" w14:textId="16670C9B" w:rsidR="009F36DD" w:rsidRDefault="009F36DD">
      <w:pPr>
        <w:rPr>
          <w:rFonts w:ascii="Helvetica" w:hAnsi="Helvetica" w:cs="Helvetica"/>
          <w:color w:val="333333"/>
          <w:shd w:val="clear" w:color="auto" w:fill="FFFFFF"/>
        </w:rPr>
      </w:pPr>
      <w:r>
        <w:rPr>
          <w:rFonts w:ascii="Helvetica" w:hAnsi="Helvetica" w:cs="Helvetica"/>
          <w:b/>
          <w:bCs/>
          <w:color w:val="333333"/>
          <w:shd w:val="clear" w:color="auto" w:fill="FFFFFF"/>
        </w:rPr>
        <w:t>补充材料（可选）</w:t>
      </w:r>
      <w:r>
        <w:rPr>
          <w:rFonts w:ascii="Helvetica" w:hAnsi="Helvetica" w:cs="Helvetica" w:hint="eastAsia"/>
          <w:b/>
          <w:bCs/>
          <w:color w:val="333333"/>
          <w:shd w:val="clear" w:color="auto" w:fill="FFFFFF"/>
        </w:rPr>
        <w:t>：</w:t>
      </w:r>
      <w:r w:rsidRPr="009F36DD">
        <w:rPr>
          <w:rFonts w:ascii="Helvetica" w:hAnsi="Helvetica" w:cs="Helvetica" w:hint="eastAsia"/>
          <w:color w:val="333333"/>
          <w:shd w:val="clear" w:color="auto" w:fill="FFFFFF"/>
        </w:rPr>
        <w:t>本研究以</w:t>
      </w:r>
      <w:proofErr w:type="gramStart"/>
      <w:r w:rsidRPr="009F36DD">
        <w:rPr>
          <w:rFonts w:ascii="Helvetica" w:hAnsi="Helvetica" w:cs="Helvetica"/>
          <w:color w:val="333333"/>
          <w:shd w:val="clear" w:color="auto" w:fill="FFFFFF"/>
        </w:rPr>
        <w:t>60</w:t>
      </w:r>
      <w:r w:rsidRPr="009F36DD">
        <w:rPr>
          <w:rFonts w:ascii="Helvetica" w:hAnsi="Helvetica" w:cs="Helvetica"/>
          <w:color w:val="333333"/>
          <w:shd w:val="clear" w:color="auto" w:fill="FFFFFF"/>
        </w:rPr>
        <w:t>头初重约</w:t>
      </w:r>
      <w:proofErr w:type="gramEnd"/>
      <w:r w:rsidRPr="009F36DD">
        <w:rPr>
          <w:rFonts w:ascii="Helvetica" w:hAnsi="Helvetica" w:cs="Helvetica"/>
          <w:color w:val="333333"/>
          <w:shd w:val="clear" w:color="auto" w:fill="FFFFFF"/>
        </w:rPr>
        <w:t>25kg</w:t>
      </w:r>
      <w:r w:rsidRPr="009F36DD">
        <w:rPr>
          <w:rFonts w:ascii="Helvetica" w:hAnsi="Helvetica" w:cs="Helvetica"/>
          <w:color w:val="333333"/>
          <w:shd w:val="clear" w:color="auto" w:fill="FFFFFF"/>
        </w:rPr>
        <w:t>的杜长大三元杂交育肥猪为试验对象，设立三个处理组：正常蛋白组（</w:t>
      </w:r>
      <w:r w:rsidRPr="009F36DD">
        <w:rPr>
          <w:rFonts w:ascii="Helvetica" w:hAnsi="Helvetica" w:cs="Helvetica"/>
          <w:color w:val="333333"/>
          <w:shd w:val="clear" w:color="auto" w:fill="FFFFFF"/>
        </w:rPr>
        <w:t>CP 18%</w:t>
      </w:r>
      <w:r w:rsidRPr="009F36DD">
        <w:rPr>
          <w:rFonts w:ascii="Helvetica" w:hAnsi="Helvetica" w:cs="Helvetica"/>
          <w:color w:val="333333"/>
          <w:shd w:val="clear" w:color="auto" w:fill="FFFFFF"/>
        </w:rPr>
        <w:t>）、低蛋白组（</w:t>
      </w:r>
      <w:r w:rsidRPr="009F36DD">
        <w:rPr>
          <w:rFonts w:ascii="Helvetica" w:hAnsi="Helvetica" w:cs="Helvetica"/>
          <w:color w:val="333333"/>
          <w:shd w:val="clear" w:color="auto" w:fill="FFFFFF"/>
        </w:rPr>
        <w:t>CP 16%</w:t>
      </w:r>
      <w:r w:rsidRPr="009F36DD">
        <w:rPr>
          <w:rFonts w:ascii="Helvetica" w:hAnsi="Helvetica" w:cs="Helvetica"/>
          <w:color w:val="333333"/>
          <w:shd w:val="clear" w:color="auto" w:fill="FFFFFF"/>
        </w:rPr>
        <w:t>）和低蛋白</w:t>
      </w:r>
      <w:r w:rsidRPr="009F36DD">
        <w:rPr>
          <w:rFonts w:ascii="Helvetica" w:hAnsi="Helvetica" w:cs="Helvetica"/>
          <w:color w:val="333333"/>
          <w:shd w:val="clear" w:color="auto" w:fill="FFFFFF"/>
        </w:rPr>
        <w:t>+</w:t>
      </w:r>
      <w:r w:rsidRPr="009F36DD">
        <w:rPr>
          <w:rFonts w:ascii="Helvetica" w:hAnsi="Helvetica" w:cs="Helvetica"/>
          <w:color w:val="333333"/>
          <w:shd w:val="clear" w:color="auto" w:fill="FFFFFF"/>
        </w:rPr>
        <w:t>赖氨酸组（</w:t>
      </w:r>
      <w:r w:rsidRPr="009F36DD">
        <w:rPr>
          <w:rFonts w:ascii="Helvetica" w:hAnsi="Helvetica" w:cs="Helvetica"/>
          <w:color w:val="333333"/>
          <w:shd w:val="clear" w:color="auto" w:fill="FFFFFF"/>
        </w:rPr>
        <w:t>CP 16% + 0.3%</w:t>
      </w:r>
      <w:r w:rsidRPr="009F36DD">
        <w:rPr>
          <w:rFonts w:ascii="Helvetica" w:hAnsi="Helvetica" w:cs="Helvetica"/>
          <w:color w:val="333333"/>
          <w:shd w:val="clear" w:color="auto" w:fill="FFFFFF"/>
        </w:rPr>
        <w:t>赖氨酸），试验期为</w:t>
      </w:r>
      <w:r w:rsidRPr="009F36DD">
        <w:rPr>
          <w:rFonts w:ascii="Helvetica" w:hAnsi="Helvetica" w:cs="Helvetica"/>
          <w:color w:val="333333"/>
          <w:shd w:val="clear" w:color="auto" w:fill="FFFFFF"/>
        </w:rPr>
        <w:t>60</w:t>
      </w:r>
      <w:r w:rsidRPr="009F36DD">
        <w:rPr>
          <w:rFonts w:ascii="Helvetica" w:hAnsi="Helvetica" w:cs="Helvetica"/>
          <w:color w:val="333333"/>
          <w:shd w:val="clear" w:color="auto" w:fill="FFFFFF"/>
        </w:rPr>
        <w:t>天。结果显示，低蛋白</w:t>
      </w:r>
      <w:r w:rsidRPr="009F36DD">
        <w:rPr>
          <w:rFonts w:ascii="Helvetica" w:hAnsi="Helvetica" w:cs="Helvetica"/>
          <w:color w:val="333333"/>
          <w:shd w:val="clear" w:color="auto" w:fill="FFFFFF"/>
        </w:rPr>
        <w:t>+</w:t>
      </w:r>
      <w:r w:rsidRPr="009F36DD">
        <w:rPr>
          <w:rFonts w:ascii="Helvetica" w:hAnsi="Helvetica" w:cs="Helvetica"/>
          <w:color w:val="333333"/>
          <w:shd w:val="clear" w:color="auto" w:fill="FFFFFF"/>
        </w:rPr>
        <w:t>赖氨酸组的日增重（</w:t>
      </w:r>
      <w:r w:rsidRPr="009F36DD">
        <w:rPr>
          <w:rFonts w:ascii="Helvetica" w:hAnsi="Helvetica" w:cs="Helvetica"/>
          <w:color w:val="333333"/>
          <w:shd w:val="clear" w:color="auto" w:fill="FFFFFF"/>
        </w:rPr>
        <w:t>ADG</w:t>
      </w:r>
      <w:r w:rsidRPr="009F36DD">
        <w:rPr>
          <w:rFonts w:ascii="Helvetica" w:hAnsi="Helvetica" w:cs="Helvetica"/>
          <w:color w:val="333333"/>
          <w:shd w:val="clear" w:color="auto" w:fill="FFFFFF"/>
        </w:rPr>
        <w:t>）和饲料转化率（</w:t>
      </w:r>
      <w:r w:rsidRPr="009F36DD">
        <w:rPr>
          <w:rFonts w:ascii="Helvetica" w:hAnsi="Helvetica" w:cs="Helvetica"/>
          <w:color w:val="333333"/>
          <w:shd w:val="clear" w:color="auto" w:fill="FFFFFF"/>
        </w:rPr>
        <w:t>F/G</w:t>
      </w:r>
      <w:r w:rsidRPr="009F36DD">
        <w:rPr>
          <w:rFonts w:ascii="Helvetica" w:hAnsi="Helvetica" w:cs="Helvetica"/>
          <w:color w:val="333333"/>
          <w:shd w:val="clear" w:color="auto" w:fill="FFFFFF"/>
        </w:rPr>
        <w:t>）显著</w:t>
      </w:r>
      <w:proofErr w:type="gramStart"/>
      <w:r w:rsidRPr="009F36DD">
        <w:rPr>
          <w:rFonts w:ascii="Helvetica" w:hAnsi="Helvetica" w:cs="Helvetica"/>
          <w:color w:val="333333"/>
          <w:shd w:val="clear" w:color="auto" w:fill="FFFFFF"/>
        </w:rPr>
        <w:t>优于低</w:t>
      </w:r>
      <w:proofErr w:type="gramEnd"/>
      <w:r w:rsidRPr="009F36DD">
        <w:rPr>
          <w:rFonts w:ascii="Helvetica" w:hAnsi="Helvetica" w:cs="Helvetica"/>
          <w:color w:val="333333"/>
          <w:shd w:val="clear" w:color="auto" w:fill="FFFFFF"/>
        </w:rPr>
        <w:t>蛋白组（</w:t>
      </w:r>
      <w:r w:rsidRPr="009F36DD">
        <w:rPr>
          <w:rFonts w:ascii="Helvetica" w:hAnsi="Helvetica" w:cs="Helvetica"/>
          <w:color w:val="333333"/>
          <w:shd w:val="clear" w:color="auto" w:fill="FFFFFF"/>
        </w:rPr>
        <w:t>P&lt;0.05</w:t>
      </w:r>
      <w:r w:rsidRPr="009F36DD">
        <w:rPr>
          <w:rFonts w:ascii="Helvetica" w:hAnsi="Helvetica" w:cs="Helvetica"/>
          <w:color w:val="333333"/>
          <w:shd w:val="clear" w:color="auto" w:fill="FFFFFF"/>
        </w:rPr>
        <w:t>），且血清中尿素氮浓度显著降低，同时氮排放量减少约</w:t>
      </w:r>
      <w:r w:rsidRPr="009F36DD">
        <w:rPr>
          <w:rFonts w:ascii="Helvetica" w:hAnsi="Helvetica" w:cs="Helvetica"/>
          <w:color w:val="333333"/>
          <w:shd w:val="clear" w:color="auto" w:fill="FFFFFF"/>
        </w:rPr>
        <w:t>18%</w:t>
      </w:r>
      <w:r w:rsidRPr="009F36DD">
        <w:rPr>
          <w:rFonts w:ascii="Helvetica" w:hAnsi="Helvetica" w:cs="Helvetica"/>
          <w:color w:val="333333"/>
          <w:shd w:val="clear" w:color="auto" w:fill="FFFFFF"/>
        </w:rPr>
        <w:t>。研究表明，在降低日粮蛋白水平的前提下补充赖氨酸，不仅能维持育肥</w:t>
      </w:r>
      <w:proofErr w:type="gramStart"/>
      <w:r w:rsidRPr="009F36DD">
        <w:rPr>
          <w:rFonts w:ascii="Helvetica" w:hAnsi="Helvetica" w:cs="Helvetica"/>
          <w:color w:val="333333"/>
          <w:shd w:val="clear" w:color="auto" w:fill="FFFFFF"/>
        </w:rPr>
        <w:t>猪良好</w:t>
      </w:r>
      <w:proofErr w:type="gramEnd"/>
      <w:r w:rsidRPr="009F36DD">
        <w:rPr>
          <w:rFonts w:ascii="Helvetica" w:hAnsi="Helvetica" w:cs="Helvetica"/>
          <w:color w:val="333333"/>
          <w:shd w:val="clear" w:color="auto" w:fill="FFFFFF"/>
        </w:rPr>
        <w:t>的生产性能，还能减少环境氮污染，具有重要的应用价值。</w:t>
      </w:r>
    </w:p>
    <w:p w14:paraId="0A5B5687" w14:textId="6D131FB4" w:rsidR="009F36DD" w:rsidRDefault="009F36DD">
      <w:pPr>
        <w:rPr>
          <w:rFonts w:ascii="Helvetica" w:hAnsi="Helvetica" w:cs="Helvetica"/>
          <w:color w:val="333333"/>
          <w:shd w:val="clear" w:color="auto" w:fill="FFFFFF"/>
        </w:rPr>
      </w:pPr>
    </w:p>
    <w:p w14:paraId="11B4321B" w14:textId="43B5D72F" w:rsidR="009F36DD" w:rsidRDefault="009F36DD" w:rsidP="009F36DD">
      <w:pPr>
        <w:pStyle w:val="1"/>
      </w:pPr>
      <w:r>
        <w:rPr>
          <w:rFonts w:hint="eastAsia"/>
        </w:rPr>
        <w:t>三、SCI论文</w:t>
      </w:r>
    </w:p>
    <w:p w14:paraId="320D04A3" w14:textId="1D60A27E" w:rsidR="009F36DD" w:rsidRDefault="009F36DD" w:rsidP="009F36DD">
      <w:r>
        <w:rPr>
          <w:noProof/>
        </w:rPr>
        <w:drawing>
          <wp:inline distT="0" distB="0" distL="0" distR="0" wp14:anchorId="320F8BE3" wp14:editId="20CE174D">
            <wp:extent cx="5274310" cy="255714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557145"/>
                    </a:xfrm>
                    <a:prstGeom prst="rect">
                      <a:avLst/>
                    </a:prstGeom>
                  </pic:spPr>
                </pic:pic>
              </a:graphicData>
            </a:graphic>
          </wp:inline>
        </w:drawing>
      </w:r>
    </w:p>
    <w:p w14:paraId="1F46741F" w14:textId="0F85D296" w:rsidR="009F36DD" w:rsidRDefault="009F36DD" w:rsidP="009F36DD">
      <w:r>
        <w:rPr>
          <w:noProof/>
        </w:rPr>
        <w:lastRenderedPageBreak/>
        <w:drawing>
          <wp:inline distT="0" distB="0" distL="0" distR="0" wp14:anchorId="443338E4" wp14:editId="27B96C8B">
            <wp:extent cx="5274310" cy="255206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552065"/>
                    </a:xfrm>
                    <a:prstGeom prst="rect">
                      <a:avLst/>
                    </a:prstGeom>
                  </pic:spPr>
                </pic:pic>
              </a:graphicData>
            </a:graphic>
          </wp:inline>
        </w:drawing>
      </w:r>
    </w:p>
    <w:p w14:paraId="1BEC7FEA" w14:textId="501E0315" w:rsidR="009F36DD" w:rsidRDefault="009F36DD" w:rsidP="009F36DD">
      <w:r w:rsidRPr="009F36DD">
        <w:rPr>
          <w:rFonts w:hint="eastAsia"/>
          <w:b/>
          <w:bCs/>
        </w:rPr>
        <w:t>标题</w:t>
      </w:r>
      <w:r>
        <w:rPr>
          <w:rFonts w:hint="eastAsia"/>
        </w:rPr>
        <w:t>：</w:t>
      </w:r>
      <w:r w:rsidRPr="009F36DD">
        <w:t>Pangenome analysis reveals structural variation associated with seed size and weight traits in peanut</w:t>
      </w:r>
    </w:p>
    <w:p w14:paraId="2A692515" w14:textId="08E3E253" w:rsidR="009F36DD" w:rsidRDefault="009F36DD" w:rsidP="009F36DD">
      <w:r w:rsidRPr="009F36DD">
        <w:rPr>
          <w:rFonts w:hint="eastAsia"/>
          <w:b/>
          <w:bCs/>
        </w:rPr>
        <w:t>补充材料</w:t>
      </w:r>
      <w:r>
        <w:rPr>
          <w:rFonts w:hint="eastAsia"/>
        </w:rPr>
        <w:t>：</w:t>
      </w:r>
      <w:r w:rsidRPr="009F36DD">
        <w:t xml:space="preserve">Peanut (Arachis </w:t>
      </w:r>
      <w:proofErr w:type="spellStart"/>
      <w:r w:rsidRPr="009F36DD">
        <w:t>hypogaea</w:t>
      </w:r>
      <w:proofErr w:type="spellEnd"/>
      <w:r w:rsidRPr="009F36DD">
        <w:t xml:space="preserve"> L.) is an important oilseed and food legume crop, with seed size and weight being critical traits for domestication and breeding. However, genomic rearrangements like structural variations (SVs) underlying seed size and weight remain unclear. Here we present a comprehensive pangenome analysis utilizing eight high-quality genomes (two diploid wild, two tetraploid wild and four tetraploid cultivated peanuts) and resequencing data of 269 accessions with diverse seed sizes. We identified 22,222 core or soft-core, 22,232 distributed and 5,643 private gene families. The frequency of SVs in </w:t>
      </w:r>
      <w:proofErr w:type="spellStart"/>
      <w:r w:rsidRPr="009F36DD">
        <w:t>subgenome</w:t>
      </w:r>
      <w:proofErr w:type="spellEnd"/>
      <w:r w:rsidRPr="009F36DD">
        <w:t xml:space="preserve"> A is higher than in </w:t>
      </w:r>
      <w:proofErr w:type="spellStart"/>
      <w:r w:rsidRPr="009F36DD">
        <w:t>subgenome</w:t>
      </w:r>
      <w:proofErr w:type="spellEnd"/>
      <w:r w:rsidRPr="009F36DD">
        <w:t xml:space="preserve"> B. We identified 1,335 domestication-related SVs and 190 SVs associated with seed size or weight. Notably, a 275-bp deletion in gene AhARF2-2 results in loss of interaction with AhIAA13 and TOPLESS, reducing the inhibitory effect on AhGRF5 and promoting seed expansion. This high-quality pangenome serves as a fundamental resource for the genetic enhancement of peanuts and other legume crops.</w:t>
      </w:r>
    </w:p>
    <w:p w14:paraId="296E4187" w14:textId="05D49470" w:rsidR="00506D44" w:rsidRDefault="00506D44" w:rsidP="009F36DD"/>
    <w:p w14:paraId="474F4F99" w14:textId="01C97940" w:rsidR="00506D44" w:rsidRDefault="00506D44" w:rsidP="00506D44">
      <w:pPr>
        <w:pStyle w:val="1"/>
      </w:pPr>
      <w:r>
        <w:rPr>
          <w:rFonts w:hint="eastAsia"/>
        </w:rPr>
        <w:lastRenderedPageBreak/>
        <w:t>四、综述撰写</w:t>
      </w:r>
    </w:p>
    <w:p w14:paraId="293D4619" w14:textId="0E4E8C10" w:rsidR="00506D44" w:rsidRDefault="00506D44" w:rsidP="009F36DD">
      <w:r>
        <w:rPr>
          <w:noProof/>
        </w:rPr>
        <w:drawing>
          <wp:inline distT="0" distB="0" distL="0" distR="0" wp14:anchorId="72241D94" wp14:editId="5B3EABB8">
            <wp:extent cx="5274310" cy="252603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526030"/>
                    </a:xfrm>
                    <a:prstGeom prst="rect">
                      <a:avLst/>
                    </a:prstGeom>
                  </pic:spPr>
                </pic:pic>
              </a:graphicData>
            </a:graphic>
          </wp:inline>
        </w:drawing>
      </w:r>
    </w:p>
    <w:p w14:paraId="765FE999" w14:textId="1130E790" w:rsidR="00506D44" w:rsidRDefault="00506D44" w:rsidP="009F36DD">
      <w:r>
        <w:rPr>
          <w:noProof/>
        </w:rPr>
        <w:drawing>
          <wp:inline distT="0" distB="0" distL="0" distR="0" wp14:anchorId="3DD8D8BA" wp14:editId="08DFEA6C">
            <wp:extent cx="5274310" cy="255714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557145"/>
                    </a:xfrm>
                    <a:prstGeom prst="rect">
                      <a:avLst/>
                    </a:prstGeom>
                  </pic:spPr>
                </pic:pic>
              </a:graphicData>
            </a:graphic>
          </wp:inline>
        </w:drawing>
      </w:r>
    </w:p>
    <w:p w14:paraId="1C3026E1" w14:textId="2B673AE6" w:rsidR="00506D44" w:rsidRDefault="00506D44" w:rsidP="009F36DD">
      <w:r w:rsidRPr="00506D44">
        <w:rPr>
          <w:rFonts w:hint="eastAsia"/>
          <w:b/>
          <w:bCs/>
        </w:rPr>
        <w:t>标题</w:t>
      </w:r>
      <w:r>
        <w:rPr>
          <w:rFonts w:hint="eastAsia"/>
        </w:rPr>
        <w:t>：</w:t>
      </w:r>
      <w:r w:rsidRPr="00506D44">
        <w:rPr>
          <w:rFonts w:hint="eastAsia"/>
        </w:rPr>
        <w:t>猪营养学研究进展：饲料配方优化、功能性添加剂与精准营养调控</w:t>
      </w:r>
    </w:p>
    <w:p w14:paraId="324B59E1" w14:textId="19A7A676" w:rsidR="00506D44" w:rsidRDefault="00506D44" w:rsidP="009F36DD">
      <w:r w:rsidRPr="00506D44">
        <w:rPr>
          <w:rFonts w:hint="eastAsia"/>
          <w:b/>
          <w:bCs/>
        </w:rPr>
        <w:t>补充材料</w:t>
      </w:r>
      <w:r>
        <w:rPr>
          <w:rFonts w:hint="eastAsia"/>
        </w:rPr>
        <w:t>：</w:t>
      </w:r>
      <w:r w:rsidRPr="00506D44">
        <w:rPr>
          <w:rFonts w:hint="eastAsia"/>
        </w:rPr>
        <w:t>近年来，随着养猪产业向集约化、高效化发展，猪营养学研究不断深化，并在饲料配方优化、功能性添加剂应用以及精准营养调控等方面取得了显著进展。本综述旨在系统梳理当前猪的基础营养需求，包括能量、蛋白质、氨基酸、维生素和矿物质等在不同生长阶段的需求差异；分析常用及新型饲料资源的营养价值与加工技术的影响；探讨植酸酶、益生菌、酸化剂、植物提取物等功能性饲料添加剂的研究进展及其在替抗、促生长中的作用机制；总结精准营养与智能饲喂技术的应用趋势，如个体营养供给、数据驱动的日粮优化和饲喂自动化设备的集成。同时，文章还关注营养与猪肠道健康、免疫调控之间的相互作用，以及绿色环保</w:t>
      </w:r>
      <w:proofErr w:type="gramStart"/>
      <w:r w:rsidRPr="00506D44">
        <w:rPr>
          <w:rFonts w:hint="eastAsia"/>
        </w:rPr>
        <w:t>背景下氮磷</w:t>
      </w:r>
      <w:proofErr w:type="gramEnd"/>
      <w:r w:rsidRPr="00506D44">
        <w:rPr>
          <w:rFonts w:hint="eastAsia"/>
        </w:rPr>
        <w:t>排放控制对营养策略提出的新要求，最后展望猪营养研究未来的发展方向，包括营养基因组学的应用、低碳营养方案的构建等。通过对上述内容的系统整理，可为猪营养研究者及生产实践者提供有价值的参考。</w:t>
      </w:r>
    </w:p>
    <w:p w14:paraId="4FA9CE04" w14:textId="40513E6E" w:rsidR="001F78AF" w:rsidRDefault="001F78AF" w:rsidP="009F36DD"/>
    <w:p w14:paraId="07D4C6AD" w14:textId="4DBA5286" w:rsidR="001F78AF" w:rsidRDefault="001F78AF" w:rsidP="001F78AF">
      <w:pPr>
        <w:pStyle w:val="1"/>
      </w:pPr>
      <w:r>
        <w:rPr>
          <w:rFonts w:hint="eastAsia"/>
        </w:rPr>
        <w:lastRenderedPageBreak/>
        <w:t>五、国自然基金</w:t>
      </w:r>
    </w:p>
    <w:p w14:paraId="7FFCCB53" w14:textId="41056F27" w:rsidR="001F78AF" w:rsidRDefault="001F78AF" w:rsidP="001F78AF">
      <w:r>
        <w:rPr>
          <w:noProof/>
        </w:rPr>
        <w:drawing>
          <wp:inline distT="0" distB="0" distL="0" distR="0" wp14:anchorId="087374E2" wp14:editId="3B337B14">
            <wp:extent cx="5274310" cy="254063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540635"/>
                    </a:xfrm>
                    <a:prstGeom prst="rect">
                      <a:avLst/>
                    </a:prstGeom>
                  </pic:spPr>
                </pic:pic>
              </a:graphicData>
            </a:graphic>
          </wp:inline>
        </w:drawing>
      </w:r>
    </w:p>
    <w:p w14:paraId="0886108D" w14:textId="0A852F10" w:rsidR="001F78AF" w:rsidRDefault="001F78AF" w:rsidP="001F78AF">
      <w:r>
        <w:rPr>
          <w:noProof/>
        </w:rPr>
        <w:drawing>
          <wp:inline distT="0" distB="0" distL="0" distR="0" wp14:anchorId="218BB47E" wp14:editId="698410CB">
            <wp:extent cx="5274310" cy="2566035"/>
            <wp:effectExtent l="0" t="0" r="254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566035"/>
                    </a:xfrm>
                    <a:prstGeom prst="rect">
                      <a:avLst/>
                    </a:prstGeom>
                  </pic:spPr>
                </pic:pic>
              </a:graphicData>
            </a:graphic>
          </wp:inline>
        </w:drawing>
      </w:r>
    </w:p>
    <w:p w14:paraId="326B4132" w14:textId="54C5884A" w:rsidR="001F78AF" w:rsidRDefault="001F78AF" w:rsidP="001F78AF">
      <w:pPr>
        <w:rPr>
          <w:b/>
          <w:bCs/>
        </w:rPr>
      </w:pPr>
      <w:r w:rsidRPr="001F78AF">
        <w:rPr>
          <w:rFonts w:hint="eastAsia"/>
          <w:b/>
          <w:bCs/>
        </w:rPr>
        <w:t>按照步骤提示一步一步生成，不刷新页面可以保存状态，可以修改直到满意为止</w:t>
      </w:r>
    </w:p>
    <w:p w14:paraId="390A6F93" w14:textId="30DC2308" w:rsidR="001F78AF" w:rsidRDefault="001F78AF" w:rsidP="001F78AF">
      <w:pPr>
        <w:rPr>
          <w:b/>
          <w:bCs/>
        </w:rPr>
      </w:pPr>
      <w:r>
        <w:rPr>
          <w:noProof/>
        </w:rPr>
        <w:drawing>
          <wp:inline distT="0" distB="0" distL="0" distR="0" wp14:anchorId="303314BF" wp14:editId="7EC6EF6D">
            <wp:extent cx="5274310" cy="2566035"/>
            <wp:effectExtent l="0" t="0" r="254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566035"/>
                    </a:xfrm>
                    <a:prstGeom prst="rect">
                      <a:avLst/>
                    </a:prstGeom>
                  </pic:spPr>
                </pic:pic>
              </a:graphicData>
            </a:graphic>
          </wp:inline>
        </w:drawing>
      </w:r>
    </w:p>
    <w:p w14:paraId="0838BC42" w14:textId="62616A9D" w:rsidR="001F78AF" w:rsidRDefault="001F78AF" w:rsidP="001F78AF">
      <w:r>
        <w:rPr>
          <w:rFonts w:hint="eastAsia"/>
          <w:b/>
          <w:bCs/>
        </w:rPr>
        <w:t>立项依据：</w:t>
      </w:r>
      <w:r w:rsidRPr="001F78AF">
        <w:rPr>
          <w:rFonts w:hint="eastAsia"/>
        </w:rPr>
        <w:t>我国牧草育种长期依赖进口品种，导致适应性差、资源利用效率低，饲草供给受</w:t>
      </w:r>
      <w:r w:rsidRPr="001F78AF">
        <w:rPr>
          <w:rFonts w:hint="eastAsia"/>
        </w:rPr>
        <w:lastRenderedPageBreak/>
        <w:t>制于人，严重制约畜牧业高质量发展。仅四川</w:t>
      </w:r>
      <w:r w:rsidRPr="001F78AF">
        <w:t>2024年就耗资9.2亿元进口3.5万吨美洲狼尾草，但因适应性问题致使30%土地闲置，凸显了构建本土高产、抗逆牧草育种体系的紧迫性。当前我国牧草育种主要依赖传统表型选择，现代分子育种与人工智能等前沿技术应用不足，难以突破品种“卡脖子”问题。本项目以“非编码调控元件”为切入点，融合基因组选择、智能表型组学和AI算法，重点解析牧草中远端调控元件对关键农艺性状的调控机制，构建“基因组—表观组—表型”一体化</w:t>
      </w:r>
      <w:r w:rsidRPr="001F78AF">
        <w:rPr>
          <w:rFonts w:hint="eastAsia"/>
        </w:rPr>
        <w:t>精准育种体系。项目拟在西南特色牧草中系统开展三维染色质互作图谱、调控网络解析与分子功能验证，探索适应干旱、热害等胁迫环境的遗传调控机制，提升品种适应性与资源利用效率。依托高通量组学平台与深度学习模型，开展基因组变异识别、关键位点预测与编辑靶点筛选，推动牧草从经验育种</w:t>
      </w:r>
      <w:proofErr w:type="gramStart"/>
      <w:r w:rsidRPr="001F78AF">
        <w:rPr>
          <w:rFonts w:hint="eastAsia"/>
        </w:rPr>
        <w:t>向计算</w:t>
      </w:r>
      <w:proofErr w:type="gramEnd"/>
      <w:r w:rsidRPr="001F78AF">
        <w:rPr>
          <w:rFonts w:hint="eastAsia"/>
        </w:rPr>
        <w:t>优选转变。成果将加速本土优质牧草品种的选育，降低对进口种子依赖，筑牢国家饲草安全和畜牧业发展基础，同时为植物非编码基因组研究与精准育种技术提供创新路径与示范效应。</w:t>
      </w:r>
    </w:p>
    <w:p w14:paraId="4E43ECEA" w14:textId="269883D8" w:rsidR="00BA1289" w:rsidRDefault="00BA1289" w:rsidP="001F78AF"/>
    <w:p w14:paraId="4406C4D1" w14:textId="554515D6" w:rsidR="00BA1289" w:rsidRPr="00BA1289" w:rsidRDefault="00BA1289" w:rsidP="001F78AF">
      <w:pPr>
        <w:rPr>
          <w:rFonts w:hint="eastAsia"/>
          <w:color w:val="FF0000"/>
        </w:rPr>
      </w:pPr>
      <w:r w:rsidRPr="00BA1289">
        <w:rPr>
          <w:rFonts w:hint="eastAsia"/>
          <w:color w:val="FF0000"/>
        </w:rPr>
        <w:t>国自然基金后半部分还有bug，先不展示</w:t>
      </w:r>
    </w:p>
    <w:p w14:paraId="2242FCA2" w14:textId="1D2C2F5D" w:rsidR="001F78AF" w:rsidRDefault="001F78AF" w:rsidP="001F78AF">
      <w:pPr>
        <w:rPr>
          <w:b/>
          <w:bCs/>
        </w:rPr>
      </w:pPr>
    </w:p>
    <w:p w14:paraId="4321C4DF" w14:textId="4B66CA4B" w:rsidR="00E91F83" w:rsidRDefault="00E91F83" w:rsidP="00E91F83">
      <w:pPr>
        <w:pStyle w:val="1"/>
      </w:pPr>
      <w:r>
        <w:rPr>
          <w:rFonts w:hint="eastAsia"/>
        </w:rPr>
        <w:t>六、项目评审</w:t>
      </w:r>
    </w:p>
    <w:p w14:paraId="416B7D95" w14:textId="17F08148" w:rsidR="00E91F83" w:rsidRDefault="00E91F83" w:rsidP="00E91F83">
      <w:r>
        <w:rPr>
          <w:noProof/>
        </w:rPr>
        <w:drawing>
          <wp:inline distT="0" distB="0" distL="0" distR="0" wp14:anchorId="04C0B33B" wp14:editId="41B355D4">
            <wp:extent cx="5274310" cy="248539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485390"/>
                    </a:xfrm>
                    <a:prstGeom prst="rect">
                      <a:avLst/>
                    </a:prstGeom>
                  </pic:spPr>
                </pic:pic>
              </a:graphicData>
            </a:graphic>
          </wp:inline>
        </w:drawing>
      </w:r>
    </w:p>
    <w:p w14:paraId="009C63C7" w14:textId="6878ACD9" w:rsidR="00E91F83" w:rsidRDefault="00652267" w:rsidP="00E91F83">
      <w:r>
        <w:rPr>
          <w:noProof/>
        </w:rPr>
        <w:drawing>
          <wp:inline distT="0" distB="0" distL="0" distR="0" wp14:anchorId="1B84A7C7" wp14:editId="36BF6B00">
            <wp:extent cx="5274310" cy="2547620"/>
            <wp:effectExtent l="0" t="0" r="254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547620"/>
                    </a:xfrm>
                    <a:prstGeom prst="rect">
                      <a:avLst/>
                    </a:prstGeom>
                  </pic:spPr>
                </pic:pic>
              </a:graphicData>
            </a:graphic>
          </wp:inline>
        </w:drawing>
      </w:r>
    </w:p>
    <w:p w14:paraId="788BF677" w14:textId="1389D6E1" w:rsidR="00652267" w:rsidRPr="00652267" w:rsidRDefault="00652267" w:rsidP="00E91F83">
      <w:pPr>
        <w:rPr>
          <w:b/>
          <w:bCs/>
        </w:rPr>
      </w:pPr>
      <w:r w:rsidRPr="00652267">
        <w:rPr>
          <w:rFonts w:hint="eastAsia"/>
          <w:b/>
          <w:bCs/>
        </w:rPr>
        <w:lastRenderedPageBreak/>
        <w:t>上传指定的基金本子即可开始评审</w:t>
      </w:r>
    </w:p>
    <w:sectPr w:rsidR="00652267" w:rsidRPr="006522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2133F" w14:textId="77777777" w:rsidR="00716834" w:rsidRDefault="00716834" w:rsidP="009F36DD">
      <w:r>
        <w:separator/>
      </w:r>
    </w:p>
  </w:endnote>
  <w:endnote w:type="continuationSeparator" w:id="0">
    <w:p w14:paraId="4CB4F776" w14:textId="77777777" w:rsidR="00716834" w:rsidRDefault="00716834" w:rsidP="009F3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1DA36" w14:textId="77777777" w:rsidR="00716834" w:rsidRDefault="00716834" w:rsidP="009F36DD">
      <w:r>
        <w:separator/>
      </w:r>
    </w:p>
  </w:footnote>
  <w:footnote w:type="continuationSeparator" w:id="0">
    <w:p w14:paraId="3D7BFC6D" w14:textId="77777777" w:rsidR="00716834" w:rsidRDefault="00716834" w:rsidP="009F36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86C"/>
    <w:rsid w:val="0006086C"/>
    <w:rsid w:val="001F78AF"/>
    <w:rsid w:val="002E36CD"/>
    <w:rsid w:val="003C6243"/>
    <w:rsid w:val="00506D44"/>
    <w:rsid w:val="00652267"/>
    <w:rsid w:val="00716834"/>
    <w:rsid w:val="009F36DD"/>
    <w:rsid w:val="00A873D2"/>
    <w:rsid w:val="00A94610"/>
    <w:rsid w:val="00BA1289"/>
    <w:rsid w:val="00E91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19CE20"/>
  <w15:chartTrackingRefBased/>
  <w15:docId w15:val="{BE07AC13-F49C-4D3C-A465-35203BFA4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36D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36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F36DD"/>
    <w:rPr>
      <w:sz w:val="18"/>
      <w:szCs w:val="18"/>
    </w:rPr>
  </w:style>
  <w:style w:type="paragraph" w:styleId="a5">
    <w:name w:val="footer"/>
    <w:basedOn w:val="a"/>
    <w:link w:val="a6"/>
    <w:uiPriority w:val="99"/>
    <w:unhideWhenUsed/>
    <w:rsid w:val="009F36DD"/>
    <w:pPr>
      <w:tabs>
        <w:tab w:val="center" w:pos="4153"/>
        <w:tab w:val="right" w:pos="8306"/>
      </w:tabs>
      <w:snapToGrid w:val="0"/>
      <w:jc w:val="left"/>
    </w:pPr>
    <w:rPr>
      <w:sz w:val="18"/>
      <w:szCs w:val="18"/>
    </w:rPr>
  </w:style>
  <w:style w:type="character" w:customStyle="1" w:styleId="a6">
    <w:name w:val="页脚 字符"/>
    <w:basedOn w:val="a0"/>
    <w:link w:val="a5"/>
    <w:uiPriority w:val="99"/>
    <w:rsid w:val="009F36DD"/>
    <w:rPr>
      <w:sz w:val="18"/>
      <w:szCs w:val="18"/>
    </w:rPr>
  </w:style>
  <w:style w:type="character" w:customStyle="1" w:styleId="10">
    <w:name w:val="标题 1 字符"/>
    <w:basedOn w:val="a0"/>
    <w:link w:val="1"/>
    <w:uiPriority w:val="9"/>
    <w:rsid w:val="009F36DD"/>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星辰 兰</dc:creator>
  <cp:keywords/>
  <dc:description/>
  <cp:lastModifiedBy>星辰 兰</cp:lastModifiedBy>
  <cp:revision>6</cp:revision>
  <dcterms:created xsi:type="dcterms:W3CDTF">2025-06-09T13:12:00Z</dcterms:created>
  <dcterms:modified xsi:type="dcterms:W3CDTF">2025-06-09T14:17:00Z</dcterms:modified>
</cp:coreProperties>
</file>