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1434465</wp:posOffset>
            </wp:positionH>
            <wp:positionV relativeFrom="paragraph">
              <wp:posOffset>-80642</wp:posOffset>
            </wp:positionV>
            <wp:extent cx="2401570" cy="3604895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1570" cy="36048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Gestión de Configuración y Mantenimiento</w:t>
        <w:tab/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Documento de Guía de Estilos</w:t>
      </w:r>
    </w:p>
    <w:p w:rsidR="00000000" w:rsidDel="00000000" w:rsidP="00000000" w:rsidRDefault="00000000" w:rsidRPr="00000000" w14:paraId="00000004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Integrantes: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40" w:lineRule="auto"/>
        <w:ind w:left="1843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Nicolas Masías Carranza                             15200250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40" w:lineRule="auto"/>
        <w:ind w:left="1843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Luis Apaza Gutiérrez</w:t>
        <w:tab/>
        <w:tab/>
        <w:tab/>
        <w:t xml:space="preserve">    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17200089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40" w:lineRule="auto"/>
        <w:ind w:left="1843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Miguel Castro Apaza</w:t>
        <w:tab/>
        <w:tab/>
        <w:tab/>
        <w:t xml:space="preserve">    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17200083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40" w:lineRule="auto"/>
        <w:ind w:left="1843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Carlos Challanca Ccorupuna                 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17200109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40" w:lineRule="auto"/>
        <w:ind w:left="1843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Jhordan Medina Montoya                       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20200273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40" w:lineRule="auto"/>
        <w:ind w:left="1843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Daniel Vise Chumpitaz                           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20200134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40" w:lineRule="auto"/>
        <w:ind w:left="1843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Omar Lequeleque Condori                     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20200271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keepNext w:val="0"/>
        <w:keepLines w:val="0"/>
        <w:pBdr>
          <w:bottom w:color="4f81bd" w:space="4" w:sz="8" w:val="single"/>
        </w:pBdr>
        <w:spacing w:after="300" w:line="240" w:lineRule="auto"/>
        <w:jc w:val="right"/>
        <w:rPr>
          <w:rFonts w:ascii="Calibri" w:cs="Calibri" w:eastAsia="Calibri" w:hAnsi="Calibri"/>
          <w:color w:val="17365d"/>
        </w:rPr>
      </w:pPr>
      <w:r w:rsidDel="00000000" w:rsidR="00000000" w:rsidRPr="00000000">
        <w:rPr>
          <w:rFonts w:ascii="Cambria" w:cs="Cambria" w:eastAsia="Cambria" w:hAnsi="Cambria"/>
          <w:color w:val="17365d"/>
          <w:rtl w:val="0"/>
        </w:rPr>
        <w:t xml:space="preserve">Diseño e implementación de un sistema Ecommerce para el minimarket Cucho - Super Shop (SS)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jc w:val="right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Documento de Guía de estilos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spacing w:after="0" w:before="480" w:line="360" w:lineRule="auto"/>
        <w:rPr>
          <w:rFonts w:ascii="Calibri" w:cs="Calibri" w:eastAsia="Calibri" w:hAnsi="Calibri"/>
          <w:b w:val="1"/>
          <w:color w:val="36609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366091"/>
          <w:sz w:val="32"/>
          <w:szCs w:val="32"/>
          <w:rtl w:val="0"/>
        </w:rPr>
        <w:t xml:space="preserve">INTRODUCCIÓN DE ESTILOS</w:t>
      </w:r>
    </w:p>
    <w:p w:rsidR="00000000" w:rsidDel="00000000" w:rsidP="00000000" w:rsidRDefault="00000000" w:rsidRPr="00000000" w14:paraId="00000039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Documento de Guía de Estilos presenta el diseño de la página web a través de diferentes vistas, cada una de las cuales ilustra un aspecto en particular del software por desarrollar.</w:t>
      </w:r>
    </w:p>
    <w:p w:rsidR="00000000" w:rsidDel="00000000" w:rsidP="00000000" w:rsidRDefault="00000000" w:rsidRPr="00000000" w14:paraId="0000003A">
      <w:pPr>
        <w:pStyle w:val="Heading1"/>
        <w:spacing w:after="0" w:before="480" w:line="360" w:lineRule="auto"/>
        <w:rPr>
          <w:rFonts w:ascii="Calibri" w:cs="Calibri" w:eastAsia="Calibri" w:hAnsi="Calibri"/>
          <w:b w:val="1"/>
          <w:color w:val="1f497d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1f497d"/>
          <w:sz w:val="32"/>
          <w:szCs w:val="32"/>
          <w:rtl w:val="0"/>
        </w:rPr>
        <w:t xml:space="preserve">DESCRIPCIÓN DE ESTILOS</w:t>
      </w:r>
    </w:p>
    <w:p w:rsidR="00000000" w:rsidDel="00000000" w:rsidP="00000000" w:rsidRDefault="00000000" w:rsidRPr="00000000" w14:paraId="0000003B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 guía de estilos mejora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la imagen de marca. Un buen logo, colores adecuados, tipografías legibles y, sobre todo, coherencia.</w:t>
      </w:r>
    </w:p>
    <w:p w:rsidR="00000000" w:rsidDel="00000000" w:rsidP="00000000" w:rsidRDefault="00000000" w:rsidRPr="00000000" w14:paraId="0000003C">
      <w:pPr>
        <w:pStyle w:val="Heading1"/>
        <w:spacing w:after="0" w:before="48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1f497d"/>
          <w:sz w:val="32"/>
          <w:szCs w:val="32"/>
          <w:rtl w:val="0"/>
        </w:rPr>
        <w:t xml:space="preserve">OBJETIVOS DE ESTILOS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200" w:line="276" w:lineRule="auto"/>
        <w:ind w:left="709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Ganar visibilidad.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200" w:line="276" w:lineRule="auto"/>
        <w:ind w:left="709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Diferenciarse de la competencia.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200" w:line="276" w:lineRule="auto"/>
        <w:ind w:left="709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Comunicarse con eficiencia.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200" w:line="276" w:lineRule="auto"/>
        <w:ind w:left="709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Demostrar profesionalidad y confianza.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spacing w:after="0" w:before="480" w:line="276" w:lineRule="auto"/>
        <w:rPr>
          <w:rFonts w:ascii="Calibri" w:cs="Calibri" w:eastAsia="Calibri" w:hAnsi="Calibri"/>
          <w:b w:val="1"/>
          <w:color w:val="1f497d"/>
          <w:sz w:val="32"/>
          <w:szCs w:val="32"/>
        </w:rPr>
      </w:pPr>
      <w:bookmarkStart w:colFirst="0" w:colLast="0" w:name="_lns82z2jxdxj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1f497d"/>
          <w:sz w:val="32"/>
          <w:szCs w:val="32"/>
          <w:rtl w:val="0"/>
        </w:rPr>
        <w:t xml:space="preserve">DEFINICIONES Y CONVENCIONES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Diseño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Es un área enfocada en el desarrollo de interfaces digitales, como el diseño de sitios web y aplicaciones para web. Para ello, los diseñadores web crean las páginas utilizando lenguajes.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Cliente – Servidor: es un patrón de arquitectura donde el cliente realiza solicitudes y el servidor es quien realiza las respuestas.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Base de Datos: conjunto de datos almacenados sistemáticamente.</w:t>
      </w:r>
    </w:p>
    <w:p w:rsidR="00000000" w:rsidDel="00000000" w:rsidP="00000000" w:rsidRDefault="00000000" w:rsidRPr="00000000" w14:paraId="00000045">
      <w:pPr>
        <w:spacing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63900" cy="2674246"/>
            <wp:effectExtent b="25400" l="25400" r="25400" t="2540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3900" cy="2674246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="276" w:lineRule="auto"/>
        <w:ind w:firstLine="708"/>
        <w:rPr/>
      </w:pPr>
      <w:r w:rsidDel="00000000" w:rsidR="00000000" w:rsidRPr="00000000">
        <w:rPr>
          <w:rFonts w:ascii="Calibri" w:cs="Calibri" w:eastAsia="Calibri" w:hAnsi="Calibri"/>
          <w:b w:val="1"/>
          <w:color w:val="1f497d"/>
          <w:sz w:val="28"/>
          <w:szCs w:val="28"/>
          <w:rtl w:val="0"/>
        </w:rPr>
        <w:t xml:space="preserve">ESTILO DEL DISEÑO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08300"/>
            <wp:effectExtent b="25400" l="25400" r="25400" t="254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08300"/>
            <wp:effectExtent b="25400" l="25400" r="25400" t="254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686425" cy="2895600"/>
            <wp:effectExtent b="25400" l="25400" r="25400" t="254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83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8956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08300"/>
            <wp:effectExtent b="25400" l="25400" r="25400" t="2540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24200"/>
            <wp:effectExtent b="25400" l="25400" r="25400" t="2540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2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