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 Model Performance Summary ===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             MSE Time (s)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Random Forest         0.142576  1547.18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CatBoost              0.142904    85.33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XGBoost               0.143372    19.37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LightGBM              0.143511    44.27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HistGradientBoosting  0.143528    29.72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 Xgboot ===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FINAL RESULTS SUMMARY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🏆 Best Algorithm: Squid Game Optimizer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📉 Best MSE Achieved: 0.143320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1f1f1f"/>
          <w:sz w:val="21"/>
          <w:szCs w:val="21"/>
          <w:highlight w:val="white"/>
          <w:rtl w:val="0"/>
        </w:rPr>
        <w:t xml:space="preserve">⏱️ Execution Time: 359.33 seconds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🔢 Features Selected: 19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Selected Features: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1. CreditScore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2. AnnualIncome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3. LoanDuration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4. Age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5. HomeOwnershipStatus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6. NumberOfOpenCreditLines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7. DebtToIncomeRatio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8. BankruptcyHistory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9. LoanPurpose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10. InterestRate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11. CheckingAccountBalance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12. RetirementAccountBalance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13. StudentLoanBalance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14. HealthInsuranceStatus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15. CarInsuranceStatus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16. OtherInsurancePolicies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17. MonthlyHousingCosts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18. MonthlyFoodCosts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19. MonthlyHealthcareCosts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=== CatBoot ===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FINAL RESULTS SUMMARY (Using CatBoost)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📉 Best MSE Achieved: 0.143812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Andika" w:cs="Andika" w:eastAsia="Andika" w:hAnsi="Andika"/>
          <w:color w:val="1f1f1f"/>
          <w:sz w:val="20"/>
          <w:szCs w:val="20"/>
          <w:highlight w:val="white"/>
          <w:rtl w:val="0"/>
        </w:rPr>
        <w:t xml:space="preserve">⏱️ Execution Time: 594.08 seconds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🔢 Features Selected: 28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Selected Features: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1. CreditScore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2. AnnualIncome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3. Age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4. NumberOfDependents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5. EducationLevel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6. HomeOwnershipStatus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7. NumberOfCreditInquiries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8. DebtToIncomeRatio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9. BankruptcyHistory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10. LoanPurpose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11. InterestRate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12. PaymentHistory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13. SavingsAccountBalance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14. InvestmentAccountBalance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15. RetirementAccountBalance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16. TotalAssets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17. LengthOfCreditHistory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18. PersonalLoanBalance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19. HealthInsuranceStatus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20. CarInsuranceStatus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21. OtherInsurancePolicies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22. JobTenure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23. MonthlySavings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24. AnnualBonuses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25. AnnualExpenses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26. MonthlyFoodCosts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27. MonthlyHealthcareCosts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0"/>
          <w:szCs w:val="20"/>
          <w:highlight w:val="white"/>
          <w:rtl w:val="0"/>
        </w:rPr>
        <w:t xml:space="preserve">28. MonthlyEntertainmentCosts</w:t>
      </w:r>
    </w:p>
    <w:p w:rsidR="00000000" w:rsidDel="00000000" w:rsidP="00000000" w:rsidRDefault="00000000" w:rsidRPr="00000000" w14:paraId="00000051">
      <w:pPr>
        <w:shd w:fill="ffffff" w:val="clear"/>
        <w:spacing w:before="80" w:line="313.848" w:lineRule="auto"/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13.848" w:lineRule="auto"/>
        <w:jc w:val="right"/>
        <w:rPr>
          <w:rFonts w:ascii="Courier New" w:cs="Courier New" w:eastAsia="Courier New" w:hAnsi="Courier New"/>
          <w:color w:val="61616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16161"/>
          <w:sz w:val="20"/>
          <w:szCs w:val="20"/>
          <w:highlight w:val="white"/>
          <w:rtl w:val="0"/>
        </w:rPr>
        <w:t xml:space="preserve">[ ]:</w:t>
      </w:r>
    </w:p>
    <w:p w:rsidR="00000000" w:rsidDel="00000000" w:rsidP="00000000" w:rsidRDefault="00000000" w:rsidRPr="00000000" w14:paraId="00000053">
      <w:pPr>
        <w:shd w:fill="f5f5f5" w:val="clear"/>
        <w:spacing w:line="335.99999999999994" w:lineRule="auto"/>
        <w:rPr>
          <w:rFonts w:ascii="Courier New" w:cs="Courier New" w:eastAsia="Courier New" w:hAnsi="Courier New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