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MST Proposal Business</w:t>
      </w:r>
    </w:p>
    <w:p>
      <w:r>
        <w:rPr>
          <w:rFonts w:ascii="Calibri" w:hAnsi="Calibri"/>
          <w:b w:val="0"/>
          <w:i/>
          <w:sz w:val="24"/>
        </w:rPr>
        <w:t>MST Education: Mindset, Skillset, Toolset</w:t>
      </w:r>
    </w:p>
    <w:p>
      <w:r>
        <w:rPr>
          <w:rFonts w:ascii="Calibri" w:hAnsi="Calibri"/>
          <w:b w:val="0"/>
          <w:i w:val="0"/>
          <w:sz w:val="20"/>
        </w:rPr>
        <w:t>Date: August 31,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rPr>
          <w:rFonts w:ascii="Calibri" w:hAnsi="Calibri"/>
          <w:b w:val="0"/>
          <w:i w:val="0"/>
          <w:sz w:val="22"/>
        </w:rPr>
        <w:t>Business problem statement: recruiting for credentials produces misfit and retraining costs.</w:t>
      </w:r>
    </w:p>
    <w:p>
      <w:r>
        <w:rPr>
          <w:rFonts w:ascii="Calibri" w:hAnsi="Calibri"/>
          <w:b w:val="0"/>
          <w:i w:val="0"/>
          <w:sz w:val="22"/>
        </w:rPr>
        <w:t>Business solution: MST as a corporate academy for adaptive capabilities tied to real deliverables.</w:t>
      </w:r>
    </w:p>
    <w:p>
      <w:r>
        <w:rPr>
          <w:rFonts w:ascii="Calibri" w:hAnsi="Calibri"/>
          <w:b w:val="0"/>
          <w:i w:val="0"/>
          <w:sz w:val="22"/>
        </w:rPr>
        <w:t>Outcome: faster time-to-productivity, retention lift, internal mobility, and lower L&amp;D spend per hire.</w:t>
      </w:r>
    </w:p>
    <w:p/>
    <w:p>
      <w:pPr>
        <w:pStyle w:val="Heading1"/>
      </w:pPr>
      <w:r>
        <w:t>Workforce Impact Map</w:t>
      </w:r>
    </w:p>
    <w:p>
      <w:r>
        <w:rPr>
          <w:rFonts w:ascii="Calibri" w:hAnsi="Calibri"/>
          <w:b w:val="0"/>
          <w:i w:val="0"/>
          <w:sz w:val="22"/>
        </w:rPr>
        <w:t>Hiring managers gain transparent portfolios and skills evidence.</w:t>
      </w:r>
    </w:p>
    <w:p>
      <w:r>
        <w:rPr>
          <w:rFonts w:ascii="Calibri" w:hAnsi="Calibri"/>
          <w:b w:val="0"/>
          <w:i w:val="0"/>
          <w:sz w:val="22"/>
        </w:rPr>
        <w:t>Employees earn stackable microcredentials and role-ready projects.</w:t>
      </w:r>
    </w:p>
    <w:p/>
    <w:p>
      <w:pPr>
        <w:pStyle w:val="Heading1"/>
      </w:pPr>
      <w:r>
        <w:t>Cost and ROI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MST Component</w:t>
            </w:r>
          </w:p>
        </w:tc>
        <w:tc>
          <w:tcPr>
            <w:tcW w:type="dxa" w:w="2880"/>
          </w:tcPr>
          <w:p>
            <w:r>
              <w:t>Annual AED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Knowledge stack subscriptions</w:t>
            </w:r>
          </w:p>
        </w:tc>
        <w:tc>
          <w:tcPr>
            <w:tcW w:type="dxa" w:w="2880"/>
          </w:tcPr>
          <w:p>
            <w:r>
              <w:t>≈ AED 4,000</w:t>
            </w:r>
          </w:p>
        </w:tc>
        <w:tc>
          <w:tcPr>
            <w:tcW w:type="dxa" w:w="2880"/>
          </w:tcPr>
          <w:p>
            <w:r>
              <w:t>Coursera Plus, LinkedIn Learning, Everand or similar</w:t>
            </w:r>
          </w:p>
        </w:tc>
      </w:tr>
      <w:tr>
        <w:tc>
          <w:tcPr>
            <w:tcW w:type="dxa" w:w="2880"/>
          </w:tcPr>
          <w:p>
            <w:r>
              <w:t>Tutoring and mentorship</w:t>
            </w:r>
          </w:p>
        </w:tc>
        <w:tc>
          <w:tcPr>
            <w:tcW w:type="dxa" w:w="2880"/>
          </w:tcPr>
          <w:p>
            <w:r>
              <w:t>AED 5,000–12,000</w:t>
            </w:r>
          </w:p>
        </w:tc>
        <w:tc>
          <w:tcPr>
            <w:tcW w:type="dxa" w:w="2880"/>
          </w:tcPr>
          <w:p>
            <w:r>
              <w:t>About 60 hours per year at AED 80–200</w:t>
            </w:r>
          </w:p>
        </w:tc>
      </w:tr>
      <w:tr>
        <w:tc>
          <w:tcPr>
            <w:tcW w:type="dxa" w:w="2880"/>
          </w:tcPr>
          <w:p>
            <w:r>
              <w:t>Devices and connectivity</w:t>
            </w:r>
          </w:p>
        </w:tc>
        <w:tc>
          <w:tcPr>
            <w:tcW w:type="dxa" w:w="2880"/>
          </w:tcPr>
          <w:p>
            <w:r>
              <w:t>≈ AED 4,000</w:t>
            </w:r>
          </w:p>
        </w:tc>
        <w:tc>
          <w:tcPr>
            <w:tcW w:type="dxa" w:w="2880"/>
          </w:tcPr>
          <w:p>
            <w:r>
              <w:t>Laptop, tablet, internet</w:t>
            </w:r>
          </w:p>
        </w:tc>
      </w:tr>
      <w:tr>
        <w:tc>
          <w:tcPr>
            <w:tcW w:type="dxa" w:w="2880"/>
          </w:tcPr>
          <w:p>
            <w:r>
              <w:t>Estimated total per student per year</w:t>
            </w:r>
          </w:p>
        </w:tc>
        <w:tc>
          <w:tcPr>
            <w:tcW w:type="dxa" w:w="2880"/>
          </w:tcPr>
          <w:p>
            <w:r>
              <w:t>AED 13,000–20,000</w:t>
            </w:r>
          </w:p>
        </w:tc>
        <w:tc>
          <w:tcPr>
            <w:tcW w:type="dxa" w:w="2880"/>
          </w:tcPr>
          <w:p>
            <w:r>
              <w:t>Scale hours up or down as needed</w:t>
            </w:r>
          </w:p>
        </w:tc>
      </w:tr>
    </w:tbl>
    <w:p>
      <w:r>
        <w:rPr>
          <w:rFonts w:ascii="Calibri" w:hAnsi="Calibri"/>
          <w:b w:val="0"/>
          <w:i w:val="0"/>
          <w:sz w:val="22"/>
        </w:rPr>
        <w:t>Expected ROI sources: decreased onboarding time, reduced churn, and improved billable output.</w:t>
      </w:r>
    </w:p>
    <w:p/>
    <w:p>
      <w:pPr>
        <w:pStyle w:val="Heading1"/>
      </w:pPr>
      <w:r>
        <w:t>Program Design</w:t>
      </w:r>
    </w:p>
    <w:p>
      <w:r>
        <w:rPr>
          <w:rFonts w:ascii="Calibri" w:hAnsi="Calibri"/>
          <w:b w:val="0"/>
          <w:i w:val="0"/>
          <w:sz w:val="22"/>
        </w:rPr>
        <w:t>Phase 1. Pilot cohort setup: select 50–100 students, baseline assessment, device provisioning, platform subscriptions, and tutor onboarding. Phase 2. Curriculum delivery: weekly mindset seminars, skill sprints, project studios, and tool certifications mapped to real outcomes. Phase 3. Portfolio and placement: students ship projects into a public portfolio, complete capstones tied to employer briefs, and receive coaching for interviews or venture building. Phase 4. Scale and accreditation pathway: third-party exams, microcredentials, and formal articulation agreements where relevant.</w:t>
      </w:r>
    </w:p>
    <w:p/>
    <w:p>
      <w:pPr>
        <w:pStyle w:val="Heading1"/>
      </w:pPr>
      <w:r>
        <w:t>KPIs</w:t>
      </w:r>
    </w:p>
    <w:p>
      <w:r>
        <w:rPr>
          <w:rFonts w:ascii="Calibri" w:hAnsi="Calibri"/>
          <w:b w:val="0"/>
          <w:i w:val="0"/>
          <w:sz w:val="22"/>
        </w:rPr>
        <w:t>Time to role proficiency, project acceptance rate, manager satisfaction, retention at 12 months.</w:t>
      </w:r>
    </w:p>
    <w:p/>
    <w:p>
      <w:pPr>
        <w:pStyle w:val="Heading1"/>
      </w:pPr>
      <w:r>
        <w:t>Risks and Mitigations</w:t>
      </w:r>
    </w:p>
    <w:p>
      <w:r>
        <w:rPr>
          <w:rFonts w:ascii="Calibri" w:hAnsi="Calibri"/>
          <w:b w:val="0"/>
          <w:i w:val="0"/>
          <w:sz w:val="22"/>
        </w:rPr>
        <w:t>Perception risk: employers and families conflate accreditation with competence. Mitigation: rigorous portfolios, third-party challenges, externships. Execution risk: tutor quality variance. Mitigation: training, rubrics, audits. Adoption risk: platform fatigue. Mitigation: minimal stack and automations.</w:t>
      </w:r>
    </w:p>
    <w:p/>
    <w:p>
      <w:pPr>
        <w:pStyle w:val="Heading1"/>
      </w:pPr>
      <w:r>
        <w:t>References</w:t>
      </w:r>
    </w:p>
    <w:p>
      <w:r>
        <w:rPr>
          <w:rFonts w:ascii="Calibri" w:hAnsi="Calibri"/>
          <w:b w:val="0"/>
          <w:i w:val="0"/>
          <w:sz w:val="22"/>
        </w:rPr>
        <w:t>• KHDA and Dubai private school fee disclosures for K-12 ranges.</w:t>
      </w:r>
    </w:p>
    <w:p>
      <w:r>
        <w:rPr>
          <w:rFonts w:ascii="Calibri" w:hAnsi="Calibri"/>
          <w:b w:val="0"/>
          <w:i w:val="0"/>
          <w:sz w:val="22"/>
        </w:rPr>
        <w:t>• Abu Dhabi Department of Education and Knowledge fee lists for ranges up to AED 96,333.</w:t>
      </w:r>
    </w:p>
    <w:p>
      <w:r>
        <w:rPr>
          <w:rFonts w:ascii="Calibri" w:hAnsi="Calibri"/>
          <w:b w:val="0"/>
          <w:i w:val="0"/>
          <w:sz w:val="22"/>
        </w:rPr>
        <w:t>• Independent Schools Council UK 2025 averages for independent day school fees.</w:t>
      </w:r>
    </w:p>
    <w:p>
      <w:r>
        <w:rPr>
          <w:rFonts w:ascii="Calibri" w:hAnsi="Calibri"/>
          <w:b w:val="0"/>
          <w:i w:val="0"/>
          <w:sz w:val="22"/>
        </w:rPr>
        <w:t>• UK Government fee cap guidance for home undergraduate tuition.</w:t>
      </w:r>
    </w:p>
    <w:p>
      <w:r>
        <w:rPr>
          <w:rFonts w:ascii="Calibri" w:hAnsi="Calibri"/>
          <w:b w:val="0"/>
          <w:i w:val="0"/>
          <w:sz w:val="22"/>
        </w:rPr>
        <w:t>• College Board Trends in College Pricing 2024 for US tuition averages.</w:t>
      </w:r>
    </w:p>
    <w:p>
      <w:r>
        <w:rPr>
          <w:rFonts w:ascii="Calibri" w:hAnsi="Calibri"/>
          <w:b w:val="0"/>
          <w:i w:val="0"/>
          <w:sz w:val="22"/>
        </w:rPr>
        <w:t>• University fee pages such as American University in Dubai for UAE undergraduate examples.</w:t>
      </w:r>
    </w:p>
    <w:p>
      <w:r>
        <w:rPr>
          <w:rFonts w:ascii="Calibri" w:hAnsi="Calibri"/>
          <w:b w:val="0"/>
          <w:i w:val="0"/>
          <w:sz w:val="22"/>
        </w:rPr>
        <w:t>• INSEAD GEMBA Middle East tuition schedule for MBA example.</w:t>
      </w:r>
    </w:p>
    <w:p>
      <w:r>
        <w:rPr>
          <w:rFonts w:ascii="Calibri" w:hAnsi="Calibri"/>
          <w:b w:val="0"/>
          <w:i w:val="0"/>
          <w:sz w:val="22"/>
        </w:rPr>
        <w:t>• Alfaisal University published fee schedule for KSA private undergrad example.</w:t>
      </w:r>
    </w:p>
    <w:p>
      <w:r>
        <w:rPr>
          <w:rFonts w:ascii="Calibri" w:hAnsi="Calibri"/>
          <w:b w:val="0"/>
          <w:i w:val="0"/>
          <w:sz w:val="22"/>
        </w:rPr>
        <w:t>• Market rate surveys for tutoring in UAE and global online tutoring platforms.</w:t>
      </w:r>
    </w:p>
    <w:p>
      <w:r>
        <w:rPr>
          <w:rFonts w:ascii="Calibri" w:hAnsi="Calibri"/>
          <w:b w:val="0"/>
          <w:i w:val="0"/>
          <w:sz w:val="22"/>
        </w:rPr>
        <w:t>• Platform list prices for Coursera Plus, LinkedIn Learning, Everand.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