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MST Proposal Government</w:t>
      </w:r>
    </w:p>
    <w:p>
      <w:r>
        <w:rPr>
          <w:rFonts w:ascii="Calibri" w:hAnsi="Calibri"/>
          <w:b w:val="0"/>
          <w:i/>
          <w:sz w:val="24"/>
        </w:rPr>
        <w:t>MST Education: Mindset, Skillset, Toolset</w:t>
      </w:r>
    </w:p>
    <w:p>
      <w:r>
        <w:rPr>
          <w:rFonts w:ascii="Calibri" w:hAnsi="Calibri"/>
          <w:b w:val="0"/>
          <w:i w:val="0"/>
          <w:sz w:val="20"/>
        </w:rPr>
        <w:t>Date: August 31,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rFonts w:ascii="Calibri" w:hAnsi="Calibri"/>
          <w:b w:val="0"/>
          <w:i w:val="0"/>
          <w:sz w:val="22"/>
        </w:rPr>
        <w:t>National challenge: rising education costs, skills gaps, and underemployment.</w:t>
      </w:r>
    </w:p>
    <w:p>
      <w:r>
        <w:rPr>
          <w:rFonts w:ascii="Calibri" w:hAnsi="Calibri"/>
          <w:b w:val="0"/>
          <w:i w:val="0"/>
          <w:sz w:val="22"/>
        </w:rPr>
        <w:t>National solution: MST as a strategic program aligned to Vision 2030 and Vision 2071.</w:t>
      </w:r>
    </w:p>
    <w:p>
      <w:r>
        <w:rPr>
          <w:rFonts w:ascii="Calibri" w:hAnsi="Calibri"/>
          <w:b w:val="0"/>
          <w:i w:val="0"/>
          <w:sz w:val="22"/>
        </w:rPr>
        <w:t>National outcomes: human capital uplift, SME creation, and innovation velocity.</w:t>
      </w:r>
    </w:p>
    <w:p/>
    <w:p>
      <w:pPr>
        <w:pStyle w:val="Heading1"/>
      </w:pPr>
      <w:r>
        <w:t>Macroeconomic Impact Map</w:t>
      </w:r>
    </w:p>
    <w:p>
      <w:r>
        <w:rPr>
          <w:rFonts w:ascii="Calibri" w:hAnsi="Calibri"/>
          <w:b w:val="0"/>
          <w:i w:val="0"/>
          <w:sz w:val="22"/>
        </w:rPr>
        <w:t>Households: pressure on budgets, bank loans, delayed asset-building. Students: anxiety, low agency, weak practical capability. Employers: mismatched hires, costly onboarding, retraining cycles. Economy: underemployment, skill gaps, slower innovation.</w:t>
      </w:r>
    </w:p>
    <w:p/>
    <w:p>
      <w:pPr>
        <w:pStyle w:val="Heading1"/>
      </w:pPr>
      <w:r>
        <w:t>Fiscal Comparison in AED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K-12 per year, private or international</w:t>
            </w:r>
          </w:p>
        </w:tc>
        <w:tc>
          <w:tcPr>
            <w:tcW w:type="dxa" w:w="1728"/>
          </w:tcPr>
          <w:p>
            <w:r>
              <w:t>Bachelor per year</w:t>
            </w:r>
          </w:p>
        </w:tc>
        <w:tc>
          <w:tcPr>
            <w:tcW w:type="dxa" w:w="1728"/>
          </w:tcPr>
          <w:p>
            <w:r>
              <w:t>MBA example, total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UAE</w:t>
            </w:r>
          </w:p>
        </w:tc>
        <w:tc>
          <w:tcPr>
            <w:tcW w:type="dxa" w:w="1728"/>
          </w:tcPr>
          <w:p>
            <w:r>
              <w:t>AED 15,000–100,000+</w:t>
            </w:r>
          </w:p>
        </w:tc>
        <w:tc>
          <w:tcPr>
            <w:tcW w:type="dxa" w:w="1728"/>
          </w:tcPr>
          <w:p>
            <w:r>
              <w:t>AED 40,000–100,000</w:t>
            </w:r>
          </w:p>
        </w:tc>
        <w:tc>
          <w:tcPr>
            <w:tcW w:type="dxa" w:w="1728"/>
          </w:tcPr>
          <w:p>
            <w:r>
              <w:t>INSEAD GEMBA Middle East ≈ AED 536,000</w:t>
            </w:r>
          </w:p>
        </w:tc>
        <w:tc>
          <w:tcPr>
            <w:tcW w:type="dxa" w:w="1728"/>
          </w:tcPr>
          <w:p>
            <w:r>
              <w:t>Ranges vary by emirate and institution</w:t>
            </w:r>
          </w:p>
        </w:tc>
      </w:tr>
      <w:tr>
        <w:tc>
          <w:tcPr>
            <w:tcW w:type="dxa" w:w="1728"/>
          </w:tcPr>
          <w:p>
            <w:r>
              <w:t>KSA</w:t>
            </w:r>
          </w:p>
        </w:tc>
        <w:tc>
          <w:tcPr>
            <w:tcW w:type="dxa" w:w="1728"/>
          </w:tcPr>
          <w:p>
            <w:r>
              <w:t>AED 29,000–88,000</w:t>
            </w:r>
          </w:p>
        </w:tc>
        <w:tc>
          <w:tcPr>
            <w:tcW w:type="dxa" w:w="1728"/>
          </w:tcPr>
          <w:p>
            <w:r>
              <w:t>Private example: Alfaisal ≈ AED 92,000</w:t>
            </w:r>
          </w:p>
        </w:tc>
        <w:tc>
          <w:tcPr>
            <w:tcW w:type="dxa" w:w="1728"/>
          </w:tcPr>
          <w:p>
            <w:r>
              <w:t>Varies; many public options subsidized for citizens</w:t>
            </w:r>
          </w:p>
        </w:tc>
        <w:tc>
          <w:tcPr>
            <w:tcW w:type="dxa" w:w="1728"/>
          </w:tcPr>
          <w:p>
            <w:r>
              <w:t>International schools in major cities skew higher</w:t>
            </w:r>
          </w:p>
        </w:tc>
      </w:tr>
      <w:tr>
        <w:tc>
          <w:tcPr>
            <w:tcW w:type="dxa" w:w="1728"/>
          </w:tcPr>
          <w:p>
            <w:r>
              <w:t>UK</w:t>
            </w:r>
          </w:p>
        </w:tc>
        <w:tc>
          <w:tcPr>
            <w:tcW w:type="dxa" w:w="1728"/>
          </w:tcPr>
          <w:p>
            <w:r>
              <w:t>≈ AED 86,000 average independent day</w:t>
            </w:r>
          </w:p>
        </w:tc>
        <w:tc>
          <w:tcPr>
            <w:tcW w:type="dxa" w:w="1728"/>
          </w:tcPr>
          <w:p>
            <w:r>
              <w:t>Home cap ≈ AED 44,000</w:t>
            </w:r>
          </w:p>
        </w:tc>
        <w:tc>
          <w:tcPr>
            <w:tcW w:type="dxa" w:w="1728"/>
          </w:tcPr>
          <w:p>
            <w:r>
              <w:t>London Business School MBA ≈ AED 563,000</w:t>
            </w:r>
          </w:p>
        </w:tc>
        <w:tc>
          <w:tcPr>
            <w:tcW w:type="dxa" w:w="1728"/>
          </w:tcPr>
          <w:p>
            <w:r>
              <w:t>Excludes boarding and living costs</w:t>
            </w:r>
          </w:p>
        </w:tc>
      </w:tr>
      <w:tr>
        <w:tc>
          <w:tcPr>
            <w:tcW w:type="dxa" w:w="1728"/>
          </w:tcPr>
          <w:p>
            <w:r>
              <w:t>USA</w:t>
            </w:r>
          </w:p>
        </w:tc>
        <w:tc>
          <w:tcPr>
            <w:tcW w:type="dxa" w:w="1728"/>
          </w:tcPr>
          <w:p>
            <w:r>
              <w:t>≈ AED 47,000 private average, public is free</w:t>
            </w:r>
          </w:p>
        </w:tc>
        <w:tc>
          <w:tcPr>
            <w:tcW w:type="dxa" w:w="1728"/>
          </w:tcPr>
          <w:p>
            <w:r>
              <w:t>Public in-state ≈ AED 43,000; private ≈ AED 160,000</w:t>
            </w:r>
          </w:p>
        </w:tc>
        <w:tc>
          <w:tcPr>
            <w:tcW w:type="dxa" w:w="1728"/>
          </w:tcPr>
          <w:p>
            <w:r>
              <w:t>Highly variable by school</w:t>
            </w:r>
          </w:p>
        </w:tc>
        <w:tc>
          <w:tcPr>
            <w:tcW w:type="dxa" w:w="1728"/>
          </w:tcPr>
          <w:p>
            <w:r>
              <w:t>Public K-12 is tax funded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MST Component</w:t>
            </w:r>
          </w:p>
        </w:tc>
        <w:tc>
          <w:tcPr>
            <w:tcW w:type="dxa" w:w="2880"/>
          </w:tcPr>
          <w:p>
            <w:r>
              <w:t>Annual AED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Knowledge stack subscriptions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Coursera Plus, LinkedIn Learning, Everand or similar</w:t>
            </w:r>
          </w:p>
        </w:tc>
      </w:tr>
      <w:tr>
        <w:tc>
          <w:tcPr>
            <w:tcW w:type="dxa" w:w="2880"/>
          </w:tcPr>
          <w:p>
            <w:r>
              <w:t>Tutoring and mentorship</w:t>
            </w:r>
          </w:p>
        </w:tc>
        <w:tc>
          <w:tcPr>
            <w:tcW w:type="dxa" w:w="2880"/>
          </w:tcPr>
          <w:p>
            <w:r>
              <w:t>AED 5,000–12,000</w:t>
            </w:r>
          </w:p>
        </w:tc>
        <w:tc>
          <w:tcPr>
            <w:tcW w:type="dxa" w:w="2880"/>
          </w:tcPr>
          <w:p>
            <w:r>
              <w:t>About 60 hours per year at AED 80–200</w:t>
            </w:r>
          </w:p>
        </w:tc>
      </w:tr>
      <w:tr>
        <w:tc>
          <w:tcPr>
            <w:tcW w:type="dxa" w:w="2880"/>
          </w:tcPr>
          <w:p>
            <w:r>
              <w:t>Devices and connectivity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Laptop, tablet, internet</w:t>
            </w:r>
          </w:p>
        </w:tc>
      </w:tr>
      <w:tr>
        <w:tc>
          <w:tcPr>
            <w:tcW w:type="dxa" w:w="2880"/>
          </w:tcPr>
          <w:p>
            <w:r>
              <w:t>Estimated total per student per year</w:t>
            </w:r>
          </w:p>
        </w:tc>
        <w:tc>
          <w:tcPr>
            <w:tcW w:type="dxa" w:w="2880"/>
          </w:tcPr>
          <w:p>
            <w:r>
              <w:t>AED 13,000–20,000</w:t>
            </w:r>
          </w:p>
        </w:tc>
        <w:tc>
          <w:tcPr>
            <w:tcW w:type="dxa" w:w="2880"/>
          </w:tcPr>
          <w:p>
            <w:r>
              <w:t>Scale hours up or down as needed</w:t>
            </w:r>
          </w:p>
        </w:tc>
      </w:tr>
    </w:tbl>
    <w:p/>
    <w:p>
      <w:pPr>
        <w:pStyle w:val="Heading1"/>
      </w:pPr>
      <w:r>
        <w:t>Delivery Model</w:t>
      </w:r>
    </w:p>
    <w:p>
      <w:r>
        <w:rPr>
          <w:rFonts w:ascii="Calibri" w:hAnsi="Calibri"/>
          <w:b w:val="0"/>
          <w:i w:val="0"/>
          <w:sz w:val="22"/>
        </w:rPr>
        <w:t>National MST hubs, digital platform access, tutor workforce development, and SME partnerships.</w:t>
      </w:r>
    </w:p>
    <w:p/>
    <w:p>
      <w:pPr>
        <w:pStyle w:val="Heading1"/>
      </w:pPr>
      <w:r>
        <w:t>KPIs</w:t>
      </w:r>
    </w:p>
    <w:p>
      <w:r>
        <w:rPr>
          <w:rFonts w:ascii="Calibri" w:hAnsi="Calibri"/>
          <w:b w:val="0"/>
          <w:i w:val="0"/>
          <w:sz w:val="22"/>
        </w:rPr>
        <w:t>Employment and income uplift, startup formation, apprenticeship placements, regional equity.</w:t>
      </w:r>
    </w:p>
    <w:p/>
    <w:p>
      <w:pPr>
        <w:pStyle w:val="Heading1"/>
      </w:pPr>
      <w:r>
        <w:t>References</w:t>
      </w:r>
    </w:p>
    <w:p>
      <w:r>
        <w:rPr>
          <w:rFonts w:ascii="Calibri" w:hAnsi="Calibri"/>
          <w:b w:val="0"/>
          <w:i w:val="0"/>
          <w:sz w:val="22"/>
        </w:rPr>
        <w:t>• KHDA and Dubai private school fee disclosures for K-12 ranges.</w:t>
      </w:r>
    </w:p>
    <w:p>
      <w:r>
        <w:rPr>
          <w:rFonts w:ascii="Calibri" w:hAnsi="Calibri"/>
          <w:b w:val="0"/>
          <w:i w:val="0"/>
          <w:sz w:val="22"/>
        </w:rPr>
        <w:t>• Abu Dhabi Department of Education and Knowledge fee lists for ranges up to AED 96,333.</w:t>
      </w:r>
    </w:p>
    <w:p>
      <w:r>
        <w:rPr>
          <w:rFonts w:ascii="Calibri" w:hAnsi="Calibri"/>
          <w:b w:val="0"/>
          <w:i w:val="0"/>
          <w:sz w:val="22"/>
        </w:rPr>
        <w:t>• Independent Schools Council UK 2025 averages for independent day school fees.</w:t>
      </w:r>
    </w:p>
    <w:p>
      <w:r>
        <w:rPr>
          <w:rFonts w:ascii="Calibri" w:hAnsi="Calibri"/>
          <w:b w:val="0"/>
          <w:i w:val="0"/>
          <w:sz w:val="22"/>
        </w:rPr>
        <w:t>• UK Government fee cap guidance for home undergraduate tuition.</w:t>
      </w:r>
    </w:p>
    <w:p>
      <w:r>
        <w:rPr>
          <w:rFonts w:ascii="Calibri" w:hAnsi="Calibri"/>
          <w:b w:val="0"/>
          <w:i w:val="0"/>
          <w:sz w:val="22"/>
        </w:rPr>
        <w:t>• College Board Trends in College Pricing 2024 for US tuition averages.</w:t>
      </w:r>
    </w:p>
    <w:p>
      <w:r>
        <w:rPr>
          <w:rFonts w:ascii="Calibri" w:hAnsi="Calibri"/>
          <w:b w:val="0"/>
          <w:i w:val="0"/>
          <w:sz w:val="22"/>
        </w:rPr>
        <w:t>• University fee pages such as American University in Dubai for UAE undergraduate examples.</w:t>
      </w:r>
    </w:p>
    <w:p>
      <w:r>
        <w:rPr>
          <w:rFonts w:ascii="Calibri" w:hAnsi="Calibri"/>
          <w:b w:val="0"/>
          <w:i w:val="0"/>
          <w:sz w:val="22"/>
        </w:rPr>
        <w:t>• INSEAD GEMBA Middle East tuition schedule for MBA example.</w:t>
      </w:r>
    </w:p>
    <w:p>
      <w:r>
        <w:rPr>
          <w:rFonts w:ascii="Calibri" w:hAnsi="Calibri"/>
          <w:b w:val="0"/>
          <w:i w:val="0"/>
          <w:sz w:val="22"/>
        </w:rPr>
        <w:t>• Alfaisal University published fee schedule for KSA private undergrad example.</w:t>
      </w:r>
    </w:p>
    <w:p>
      <w:r>
        <w:rPr>
          <w:rFonts w:ascii="Calibri" w:hAnsi="Calibri"/>
          <w:b w:val="0"/>
          <w:i w:val="0"/>
          <w:sz w:val="22"/>
        </w:rPr>
        <w:t>• Market rate surveys for tutoring in UAE and global online tutoring platforms.</w:t>
      </w:r>
    </w:p>
    <w:p>
      <w:r>
        <w:rPr>
          <w:rFonts w:ascii="Calibri" w:hAnsi="Calibri"/>
          <w:b w:val="0"/>
          <w:i w:val="0"/>
          <w:sz w:val="22"/>
        </w:rPr>
        <w:t>• Platform list prices for Coursera Plus, LinkedIn Learning, Everand.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