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MST Universal Thesis Proposal</w:t>
      </w:r>
    </w:p>
    <w:p>
      <w:r>
        <w:rPr>
          <w:rFonts w:ascii="Calibri" w:hAnsi="Calibri"/>
          <w:b w:val="0"/>
          <w:i/>
          <w:sz w:val="24"/>
        </w:rPr>
        <w:t>MST Education: Mindset, Skillset, Toolset</w:t>
      </w:r>
    </w:p>
    <w:p>
      <w:r>
        <w:rPr>
          <w:rFonts w:ascii="Calibri" w:hAnsi="Calibri"/>
          <w:b w:val="0"/>
          <w:i w:val="0"/>
          <w:sz w:val="20"/>
        </w:rPr>
        <w:t>Date: August 31, 2025</w:t>
      </w:r>
    </w:p>
    <w:p>
      <w:r>
        <w:br w:type="page"/>
      </w:r>
    </w:p>
    <w:p>
      <w:pPr>
        <w:pStyle w:val="Heading1"/>
      </w:pPr>
      <w:r>
        <w:t>Executive Summary</w:t>
      </w:r>
    </w:p>
    <w:p>
      <w:r>
        <w:rPr>
          <w:rFonts w:ascii="Calibri" w:hAnsi="Calibri"/>
          <w:b w:val="0"/>
          <w:i w:val="0"/>
          <w:sz w:val="22"/>
        </w:rPr>
        <w:t>This thesis proposes MST Education as a credible, affordable alternative to high-cost, low-alignment schooling.</w:t>
      </w:r>
    </w:p>
    <w:p>
      <w:r>
        <w:rPr>
          <w:rFonts w:ascii="Calibri" w:hAnsi="Calibri"/>
          <w:b w:val="0"/>
          <w:i w:val="0"/>
          <w:sz w:val="22"/>
        </w:rPr>
        <w:t>Families face rising education costs with uncertain returns. Credentials do not reliably predict job fit or economic mobility. Young professionals in their 20s and 30s are starting families while working in roles that do not reflect their value, yet still feel compelled to finance expensive schooling to chase accreditation. This produces debt, stress, and persistent misalignment between personality, skill, and work.</w:t>
      </w:r>
    </w:p>
    <w:p>
      <w:r>
        <w:rPr>
          <w:rFonts w:ascii="Calibri" w:hAnsi="Calibri"/>
          <w:b w:val="0"/>
          <w:i w:val="0"/>
          <w:sz w:val="22"/>
        </w:rPr>
        <w:t>Households: pressure on budgets, bank loans, delayed asset-building. Students: anxiety, low agency, weak practical capability. Employers: mismatched hires, costly onboarding, retraining cycles. Economy: underemployment, skill gaps, slower innovation.</w:t>
      </w:r>
    </w:p>
    <w:p/>
    <w:p>
      <w:pPr>
        <w:pStyle w:val="Heading1"/>
      </w:pPr>
      <w:r>
        <w:t>Cost Comparison in AED</w:t>
      </w:r>
    </w:p>
    <w:tbl>
      <w:tblPr>
        <w:tblW w:type="auto" w:w="0"/>
        <w:tblLayout w:type="autofit"/>
        <w:tblLook w:firstColumn="1" w:firstRow="1" w:lastColumn="0" w:lastRow="0" w:noHBand="0" w:noVBand="1" w:val="04A0"/>
      </w:tblPr>
      <w:tblGrid>
        <w:gridCol w:w="1728"/>
        <w:gridCol w:w="1728"/>
        <w:gridCol w:w="1728"/>
        <w:gridCol w:w="1728"/>
        <w:gridCol w:w="1728"/>
      </w:tblGrid>
      <w:tr>
        <w:tc>
          <w:tcPr>
            <w:tcW w:type="dxa" w:w="1728"/>
          </w:tcPr>
          <w:p>
            <w:r>
              <w:t>Region</w:t>
            </w:r>
          </w:p>
        </w:tc>
        <w:tc>
          <w:tcPr>
            <w:tcW w:type="dxa" w:w="1728"/>
          </w:tcPr>
          <w:p>
            <w:r>
              <w:t>K-12 per year, private or international</w:t>
            </w:r>
          </w:p>
        </w:tc>
        <w:tc>
          <w:tcPr>
            <w:tcW w:type="dxa" w:w="1728"/>
          </w:tcPr>
          <w:p>
            <w:r>
              <w:t>Bachelor per year</w:t>
            </w:r>
          </w:p>
        </w:tc>
        <w:tc>
          <w:tcPr>
            <w:tcW w:type="dxa" w:w="1728"/>
          </w:tcPr>
          <w:p>
            <w:r>
              <w:t>MBA example, total</w:t>
            </w:r>
          </w:p>
        </w:tc>
        <w:tc>
          <w:tcPr>
            <w:tcW w:type="dxa" w:w="1728"/>
          </w:tcPr>
          <w:p>
            <w:r>
              <w:t>Notes</w:t>
            </w:r>
          </w:p>
        </w:tc>
      </w:tr>
      <w:tr>
        <w:tc>
          <w:tcPr>
            <w:tcW w:type="dxa" w:w="1728"/>
          </w:tcPr>
          <w:p>
            <w:r>
              <w:t>UAE</w:t>
            </w:r>
          </w:p>
        </w:tc>
        <w:tc>
          <w:tcPr>
            <w:tcW w:type="dxa" w:w="1728"/>
          </w:tcPr>
          <w:p>
            <w:r>
              <w:t>AED 15,000–100,000+</w:t>
            </w:r>
          </w:p>
        </w:tc>
        <w:tc>
          <w:tcPr>
            <w:tcW w:type="dxa" w:w="1728"/>
          </w:tcPr>
          <w:p>
            <w:r>
              <w:t>AED 40,000–100,000</w:t>
            </w:r>
          </w:p>
        </w:tc>
        <w:tc>
          <w:tcPr>
            <w:tcW w:type="dxa" w:w="1728"/>
          </w:tcPr>
          <w:p>
            <w:r>
              <w:t>INSEAD GEMBA Middle East ≈ AED 536,000</w:t>
            </w:r>
          </w:p>
        </w:tc>
        <w:tc>
          <w:tcPr>
            <w:tcW w:type="dxa" w:w="1728"/>
          </w:tcPr>
          <w:p>
            <w:r>
              <w:t>Ranges vary by emirate and institution</w:t>
            </w:r>
          </w:p>
        </w:tc>
      </w:tr>
      <w:tr>
        <w:tc>
          <w:tcPr>
            <w:tcW w:type="dxa" w:w="1728"/>
          </w:tcPr>
          <w:p>
            <w:r>
              <w:t>KSA</w:t>
            </w:r>
          </w:p>
        </w:tc>
        <w:tc>
          <w:tcPr>
            <w:tcW w:type="dxa" w:w="1728"/>
          </w:tcPr>
          <w:p>
            <w:r>
              <w:t>AED 29,000–88,000</w:t>
            </w:r>
          </w:p>
        </w:tc>
        <w:tc>
          <w:tcPr>
            <w:tcW w:type="dxa" w:w="1728"/>
          </w:tcPr>
          <w:p>
            <w:r>
              <w:t>Private example: Alfaisal ≈ AED 92,000</w:t>
            </w:r>
          </w:p>
        </w:tc>
        <w:tc>
          <w:tcPr>
            <w:tcW w:type="dxa" w:w="1728"/>
          </w:tcPr>
          <w:p>
            <w:r>
              <w:t>Varies; many public options subsidized for citizens</w:t>
            </w:r>
          </w:p>
        </w:tc>
        <w:tc>
          <w:tcPr>
            <w:tcW w:type="dxa" w:w="1728"/>
          </w:tcPr>
          <w:p>
            <w:r>
              <w:t>International schools in major cities skew higher</w:t>
            </w:r>
          </w:p>
        </w:tc>
      </w:tr>
      <w:tr>
        <w:tc>
          <w:tcPr>
            <w:tcW w:type="dxa" w:w="1728"/>
          </w:tcPr>
          <w:p>
            <w:r>
              <w:t>UK</w:t>
            </w:r>
          </w:p>
        </w:tc>
        <w:tc>
          <w:tcPr>
            <w:tcW w:type="dxa" w:w="1728"/>
          </w:tcPr>
          <w:p>
            <w:r>
              <w:t>≈ AED 86,000 average independent day</w:t>
            </w:r>
          </w:p>
        </w:tc>
        <w:tc>
          <w:tcPr>
            <w:tcW w:type="dxa" w:w="1728"/>
          </w:tcPr>
          <w:p>
            <w:r>
              <w:t>Home cap ≈ AED 44,000</w:t>
            </w:r>
          </w:p>
        </w:tc>
        <w:tc>
          <w:tcPr>
            <w:tcW w:type="dxa" w:w="1728"/>
          </w:tcPr>
          <w:p>
            <w:r>
              <w:t>London Business School MBA ≈ AED 563,000</w:t>
            </w:r>
          </w:p>
        </w:tc>
        <w:tc>
          <w:tcPr>
            <w:tcW w:type="dxa" w:w="1728"/>
          </w:tcPr>
          <w:p>
            <w:r>
              <w:t>Excludes boarding and living costs</w:t>
            </w:r>
          </w:p>
        </w:tc>
      </w:tr>
      <w:tr>
        <w:tc>
          <w:tcPr>
            <w:tcW w:type="dxa" w:w="1728"/>
          </w:tcPr>
          <w:p>
            <w:r>
              <w:t>USA</w:t>
            </w:r>
          </w:p>
        </w:tc>
        <w:tc>
          <w:tcPr>
            <w:tcW w:type="dxa" w:w="1728"/>
          </w:tcPr>
          <w:p>
            <w:r>
              <w:t>≈ AED 47,000 private average, public is free</w:t>
            </w:r>
          </w:p>
        </w:tc>
        <w:tc>
          <w:tcPr>
            <w:tcW w:type="dxa" w:w="1728"/>
          </w:tcPr>
          <w:p>
            <w:r>
              <w:t>Public in-state ≈ AED 43,000; private ≈ AED 160,000</w:t>
            </w:r>
          </w:p>
        </w:tc>
        <w:tc>
          <w:tcPr>
            <w:tcW w:type="dxa" w:w="1728"/>
          </w:tcPr>
          <w:p>
            <w:r>
              <w:t>Highly variable by school</w:t>
            </w:r>
          </w:p>
        </w:tc>
        <w:tc>
          <w:tcPr>
            <w:tcW w:type="dxa" w:w="1728"/>
          </w:tcPr>
          <w:p>
            <w:r>
              <w:t>Public K-12 is tax funded</w:t>
            </w:r>
          </w:p>
        </w:tc>
      </w:tr>
    </w:tbl>
    <w:tbl>
      <w:tblPr>
        <w:tblW w:type="auto" w:w="0"/>
        <w:tblLayout w:type="autofit"/>
        <w:tblLook w:firstColumn="1" w:firstRow="1" w:lastColumn="0" w:lastRow="0" w:noHBand="0" w:noVBand="1" w:val="04A0"/>
      </w:tblPr>
      <w:tblGrid>
        <w:gridCol w:w="2880"/>
        <w:gridCol w:w="2880"/>
        <w:gridCol w:w="2880"/>
      </w:tblGrid>
      <w:tr>
        <w:tc>
          <w:tcPr>
            <w:tcW w:type="dxa" w:w="2880"/>
          </w:tcPr>
          <w:p>
            <w:r>
              <w:t>MST Component</w:t>
            </w:r>
          </w:p>
        </w:tc>
        <w:tc>
          <w:tcPr>
            <w:tcW w:type="dxa" w:w="2880"/>
          </w:tcPr>
          <w:p>
            <w:r>
              <w:t>Annual AED</w:t>
            </w:r>
          </w:p>
        </w:tc>
        <w:tc>
          <w:tcPr>
            <w:tcW w:type="dxa" w:w="2880"/>
          </w:tcPr>
          <w:p>
            <w:r>
              <w:t>Notes</w:t>
            </w:r>
          </w:p>
        </w:tc>
      </w:tr>
      <w:tr>
        <w:tc>
          <w:tcPr>
            <w:tcW w:type="dxa" w:w="2880"/>
          </w:tcPr>
          <w:p>
            <w:r>
              <w:t>Knowledge stack subscriptions</w:t>
            </w:r>
          </w:p>
        </w:tc>
        <w:tc>
          <w:tcPr>
            <w:tcW w:type="dxa" w:w="2880"/>
          </w:tcPr>
          <w:p>
            <w:r>
              <w:t>≈ AED 4,000</w:t>
            </w:r>
          </w:p>
        </w:tc>
        <w:tc>
          <w:tcPr>
            <w:tcW w:type="dxa" w:w="2880"/>
          </w:tcPr>
          <w:p>
            <w:r>
              <w:t>Coursera Plus, LinkedIn Learning, Everand or similar</w:t>
            </w:r>
          </w:p>
        </w:tc>
      </w:tr>
      <w:tr>
        <w:tc>
          <w:tcPr>
            <w:tcW w:type="dxa" w:w="2880"/>
          </w:tcPr>
          <w:p>
            <w:r>
              <w:t>Tutoring and mentorship</w:t>
            </w:r>
          </w:p>
        </w:tc>
        <w:tc>
          <w:tcPr>
            <w:tcW w:type="dxa" w:w="2880"/>
          </w:tcPr>
          <w:p>
            <w:r>
              <w:t>AED 5,000–12,000</w:t>
            </w:r>
          </w:p>
        </w:tc>
        <w:tc>
          <w:tcPr>
            <w:tcW w:type="dxa" w:w="2880"/>
          </w:tcPr>
          <w:p>
            <w:r>
              <w:t>About 60 hours per year at AED 80–200</w:t>
            </w:r>
          </w:p>
        </w:tc>
      </w:tr>
      <w:tr>
        <w:tc>
          <w:tcPr>
            <w:tcW w:type="dxa" w:w="2880"/>
          </w:tcPr>
          <w:p>
            <w:r>
              <w:t>Devices and connectivity</w:t>
            </w:r>
          </w:p>
        </w:tc>
        <w:tc>
          <w:tcPr>
            <w:tcW w:type="dxa" w:w="2880"/>
          </w:tcPr>
          <w:p>
            <w:r>
              <w:t>≈ AED 4,000</w:t>
            </w:r>
          </w:p>
        </w:tc>
        <w:tc>
          <w:tcPr>
            <w:tcW w:type="dxa" w:w="2880"/>
          </w:tcPr>
          <w:p>
            <w:r>
              <w:t>Laptop, tablet, internet</w:t>
            </w:r>
          </w:p>
        </w:tc>
      </w:tr>
      <w:tr>
        <w:tc>
          <w:tcPr>
            <w:tcW w:type="dxa" w:w="2880"/>
          </w:tcPr>
          <w:p>
            <w:r>
              <w:t>Estimated total per student per year</w:t>
            </w:r>
          </w:p>
        </w:tc>
        <w:tc>
          <w:tcPr>
            <w:tcW w:type="dxa" w:w="2880"/>
          </w:tcPr>
          <w:p>
            <w:r>
              <w:t>AED 13,000–20,000</w:t>
            </w:r>
          </w:p>
        </w:tc>
        <w:tc>
          <w:tcPr>
            <w:tcW w:type="dxa" w:w="2880"/>
          </w:tcPr>
          <w:p>
            <w:r>
              <w:t>Scale hours up or down as needed</w:t>
            </w:r>
          </w:p>
        </w:tc>
      </w:tr>
    </w:tbl>
    <w:p/>
    <w:p>
      <w:pPr>
        <w:pStyle w:val="Heading1"/>
      </w:pPr>
      <w:r>
        <w:t>The MST Framework</w:t>
      </w:r>
    </w:p>
    <w:p>
      <w:r>
        <w:rPr>
          <w:rFonts w:ascii="Calibri" w:hAnsi="Calibri"/>
          <w:b w:val="0"/>
          <w:i w:val="0"/>
          <w:sz w:val="22"/>
        </w:rPr>
        <w:t>MST is an outcomes-first model that builds Mindset, then Skillset, then Toolset. Mindset means reasoning, clarity, and methodology. Skillset means layered abilities such as communication, analysis, coding, design, and problem solving. Toolset means fluency with Microsoft 365, Google Workspace, Notion, Figma, GitHub, and contemporary AI systems, combined with curated access to online courses and books. MST costs approximately AED 13,000–20,000 per student per year and is designed to produce adaptable, portfolio-backed capability rather than narrow credentials.</w:t>
      </w:r>
    </w:p>
    <w:p/>
    <w:p>
      <w:pPr>
        <w:pStyle w:val="Heading1"/>
      </w:pPr>
      <w:r>
        <w:t>Implementation Roadmap</w:t>
      </w:r>
    </w:p>
    <w:p>
      <w:r>
        <w:rPr>
          <w:rFonts w:ascii="Calibri" w:hAnsi="Calibri"/>
          <w:b w:val="0"/>
          <w:i w:val="0"/>
          <w:sz w:val="22"/>
        </w:rPr>
        <w:t>Phase 1. Pilot cohort setup: select 50–100 students, baseline assessment, device provisioning, platform subscriptions, and tutor onboarding. Phase 2. Curriculum delivery: weekly mindset seminars, skill sprints, project studios, and tool certifications mapped to real outcomes. Phase 3. Portfolio and placement: students ship projects into a public portfolio, complete capstones tied to employer briefs, and receive coaching for interviews or venture building. Phase 4. Scale and accreditation pathway: third-party exams, microcredentials, and formal articulation agreements where relevant.</w:t>
      </w:r>
    </w:p>
    <w:p/>
    <w:p>
      <w:pPr>
        <w:pStyle w:val="Heading1"/>
      </w:pPr>
      <w:r>
        <w:t>KPIs and Evidence</w:t>
      </w:r>
    </w:p>
    <w:p>
      <w:r>
        <w:rPr>
          <w:rFonts w:ascii="Calibri" w:hAnsi="Calibri"/>
          <w:b w:val="0"/>
          <w:i w:val="0"/>
          <w:sz w:val="22"/>
        </w:rPr>
        <w:t>Primary KPIs include portfolio completions per term, external project acceptances, time to payback on tuition, placement or income uplift within six months, and employer satisfaction scores for project-based deliverables.</w:t>
      </w:r>
    </w:p>
    <w:p/>
    <w:p>
      <w:pPr>
        <w:pStyle w:val="Heading1"/>
      </w:pPr>
      <w:r>
        <w:t>Risks and Mitigations</w:t>
      </w:r>
    </w:p>
    <w:p>
      <w:r>
        <w:rPr>
          <w:rFonts w:ascii="Calibri" w:hAnsi="Calibri"/>
          <w:b w:val="0"/>
          <w:i w:val="0"/>
          <w:sz w:val="22"/>
        </w:rPr>
        <w:t>Perception risk: employers and families conflate accreditation with competence. Mitigation: rigorous portfolios, third-party challenges, externships. Execution risk: tutor quality variance. Mitigation: training, rubrics, audits. Adoption risk: platform fatigue. Mitigation: minimal stack and automations.</w:t>
      </w:r>
    </w:p>
    <w:p/>
    <w:p>
      <w:pPr>
        <w:pStyle w:val="Heading1"/>
      </w:pPr>
      <w:r>
        <w:t>Budget and Funding</w:t>
      </w:r>
    </w:p>
    <w:p>
      <w:r>
        <w:rPr>
          <w:rFonts w:ascii="Calibri" w:hAnsi="Calibri"/>
          <w:b w:val="0"/>
          <w:i w:val="0"/>
          <w:sz w:val="22"/>
        </w:rPr>
        <w:t>Annual per-student MST budget: AED 13,000–20,000 inclusive of subscriptions, mentorship, and devices. Conventional K-12 private tuition often exceeds AED 40,000 before materials and transport. Bachelor programs frequently exceed AED 40,000 per year.</w:t>
      </w:r>
    </w:p>
    <w:p/>
    <w:p>
      <w:pPr>
        <w:pStyle w:val="Heading1"/>
      </w:pPr>
      <w:r>
        <w:t>Pilot Timeline</w:t>
      </w:r>
    </w:p>
    <w:p>
      <w:r>
        <w:rPr>
          <w:rFonts w:ascii="Calibri" w:hAnsi="Calibri"/>
          <w:b w:val="0"/>
          <w:i w:val="0"/>
          <w:sz w:val="22"/>
        </w:rPr>
        <w:t>Ninety-day pilot launch. Month 1 for setup and assessment. Month 2 for sprint cadence and live projects. Month 3 for portfolio review and external showcases. Semester-scale rollout after pilot success.</w:t>
      </w:r>
    </w:p>
    <w:p/>
    <w:p>
      <w:pPr>
        <w:pStyle w:val="Heading1"/>
      </w:pPr>
      <w:r>
        <w:t>References</w:t>
      </w:r>
    </w:p>
    <w:p>
      <w:r>
        <w:rPr>
          <w:rFonts w:ascii="Calibri" w:hAnsi="Calibri"/>
          <w:b w:val="0"/>
          <w:i w:val="0"/>
          <w:sz w:val="22"/>
        </w:rPr>
        <w:t>• KHDA and Dubai private school fee disclosures for K-12 ranges.</w:t>
      </w:r>
    </w:p>
    <w:p>
      <w:r>
        <w:rPr>
          <w:rFonts w:ascii="Calibri" w:hAnsi="Calibri"/>
          <w:b w:val="0"/>
          <w:i w:val="0"/>
          <w:sz w:val="22"/>
        </w:rPr>
        <w:t>• Abu Dhabi Department of Education and Knowledge fee lists for ranges up to AED 96,333.</w:t>
      </w:r>
    </w:p>
    <w:p>
      <w:r>
        <w:rPr>
          <w:rFonts w:ascii="Calibri" w:hAnsi="Calibri"/>
          <w:b w:val="0"/>
          <w:i w:val="0"/>
          <w:sz w:val="22"/>
        </w:rPr>
        <w:t>• Independent Schools Council UK 2025 averages for independent day school fees.</w:t>
      </w:r>
    </w:p>
    <w:p>
      <w:r>
        <w:rPr>
          <w:rFonts w:ascii="Calibri" w:hAnsi="Calibri"/>
          <w:b w:val="0"/>
          <w:i w:val="0"/>
          <w:sz w:val="22"/>
        </w:rPr>
        <w:t>• UK Government fee cap guidance for home undergraduate tuition.</w:t>
      </w:r>
    </w:p>
    <w:p>
      <w:r>
        <w:rPr>
          <w:rFonts w:ascii="Calibri" w:hAnsi="Calibri"/>
          <w:b w:val="0"/>
          <w:i w:val="0"/>
          <w:sz w:val="22"/>
        </w:rPr>
        <w:t>• College Board Trends in College Pricing 2024 for US tuition averages.</w:t>
      </w:r>
    </w:p>
    <w:p>
      <w:r>
        <w:rPr>
          <w:rFonts w:ascii="Calibri" w:hAnsi="Calibri"/>
          <w:b w:val="0"/>
          <w:i w:val="0"/>
          <w:sz w:val="22"/>
        </w:rPr>
        <w:t>• University fee pages such as American University in Dubai for UAE undergraduate examples.</w:t>
      </w:r>
    </w:p>
    <w:p>
      <w:r>
        <w:rPr>
          <w:rFonts w:ascii="Calibri" w:hAnsi="Calibri"/>
          <w:b w:val="0"/>
          <w:i w:val="0"/>
          <w:sz w:val="22"/>
        </w:rPr>
        <w:t>• INSEAD GEMBA Middle East tuition schedule for MBA example.</w:t>
      </w:r>
    </w:p>
    <w:p>
      <w:r>
        <w:rPr>
          <w:rFonts w:ascii="Calibri" w:hAnsi="Calibri"/>
          <w:b w:val="0"/>
          <w:i w:val="0"/>
          <w:sz w:val="22"/>
        </w:rPr>
        <w:t>• Alfaisal University published fee schedule for KSA private undergrad example.</w:t>
      </w:r>
    </w:p>
    <w:p>
      <w:r>
        <w:rPr>
          <w:rFonts w:ascii="Calibri" w:hAnsi="Calibri"/>
          <w:b w:val="0"/>
          <w:i w:val="0"/>
          <w:sz w:val="22"/>
        </w:rPr>
        <w:t>• Market rate surveys for tutoring in UAE and global online tutoring platforms.</w:t>
      </w:r>
    </w:p>
    <w:p>
      <w:r>
        <w:rPr>
          <w:rFonts w:ascii="Calibri" w:hAnsi="Calibri"/>
          <w:b w:val="0"/>
          <w:i w:val="0"/>
          <w:sz w:val="22"/>
        </w:rPr>
        <w:t>• Platform list prices for Coursera Plus, LinkedIn Learning, Everand.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