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Pitch to Uncle Nabil: The Practice of Innovation in a Time of Replication</w:t>
      </w:r>
    </w:p>
    <w:p>
      <w:r>
        <w:t>1. Opening Note: Why You</w:t>
      </w:r>
    </w:p>
    <w:p>
      <w:r>
        <w:t>Dear Uncle Nabil,</w:t>
      </w:r>
    </w:p>
    <w:p>
      <w:r>
        <w:t>Across your 40+ years of consultancy, you’ve earned a reputation few can rival—grounded, analytical, and quietly sharp. Your insight into both people and business is precise without fanfare, creative without recklessness, and consistently centered around value and clarity.</w:t>
      </w:r>
    </w:p>
    <w:p>
      <w:r>
        <w:t>You're someone who sees the architecture of decision-making: how businesses structure their models, how leaders lead quietly or loudly, and how strategies either inspire replication or dilute into performance. Your ability to translate insight into actionable frames for traders, bankers, angel investors, venture capitalists, analysts, or asset managers gives you a panoramic view most strategists lack.</w:t>
      </w:r>
    </w:p>
    <w:p>
      <w:r>
        <w:t>That’s why I’m sharing this with you.</w:t>
      </w:r>
    </w:p>
    <w:p>
      <w:r>
        <w:t>This is not just another trading strategy. It’s an innovative investment model, and as we both know, innovation should be replicated, but the automation of replication should be outlawed. It is in this spirit that Mellostock was born.</w:t>
      </w:r>
    </w:p>
    <w:p>
      <w:r>
        <w:t>2. Core Investment Idea: The Dual Lens Approach</w:t>
      </w:r>
    </w:p>
    <w:p>
      <w:r>
        <w:t>“A quality stock is defined not just by what it’s made of, but by who makes it.”</w:t>
      </w:r>
    </w:p>
    <w:p>
      <w:r>
        <w:t>This model uses two layers of analysis:</w:t>
      </w:r>
    </w:p>
    <w:p>
      <w:r>
        <w:t>A. Target Sentimentalization</w:t>
        <w:br/>
        <w:t>- A philosophical filter to identify companies with a content of character.</w:t>
        <w:br/>
        <w:t>- Focuses on the people behind the company:</w:t>
        <w:br/>
        <w:t xml:space="preserve">  - Who are they?</w:t>
        <w:br/>
        <w:t xml:space="preserve">  - How do they lead?</w:t>
        <w:br/>
        <w:t xml:space="preserve">  - What do they protect?</w:t>
        <w:br/>
        <w:t xml:space="preserve">  - Do they deliver reliability, consistency, security, and ethical value over a minimum of five years?</w:t>
        <w:br/>
        <w:t>- These companies do not seek attention. They produce without needing to be seen. They are quiet magnets.</w:t>
      </w:r>
    </w:p>
    <w:p>
      <w:r>
        <w:t>B. AI Material Insight</w:t>
        <w:br/>
        <w:t>- The AI boom is the new gold rush, but the real value lies in the suppliers, the processors, the material enablers.</w:t>
        <w:br/>
        <w:t>- This layer identifies companies providing critical materials for AI chip production:</w:t>
        <w:br/>
        <w:t xml:space="preserve">  - Hafnium, Cobalt, Gallium, Rare Earths, Tungsten, etc.</w:t>
        <w:br/>
        <w:t>- It then maps the concentration of supply—who’s providing what, how many companies exist for each material, and how vulnerable the chain is.</w:t>
      </w:r>
    </w:p>
    <w:p>
      <w:r>
        <w:t>3. Why It’s Timely</w:t>
      </w:r>
    </w:p>
    <w:p>
      <w:r>
        <w:t>AI is no longer a trend. It is infrastructure.</w:t>
      </w:r>
    </w:p>
    <w:p>
      <w:r>
        <w:t>While Nvidia and TSMC dominate the narrative, the true leverage lies in the overlooked supply nodes.</w:t>
      </w:r>
    </w:p>
    <w:p>
      <w:r>
        <w:t>Combine that with the rise of emotional investing (even among institutions), and we have a convergence moment:</w:t>
        <w:br/>
        <w:t xml:space="preserve">  - Emotional confidence plus material scarcity equals long-term asymmetrical opportunity.</w:t>
      </w:r>
    </w:p>
    <w:p>
      <w:r>
        <w:t>4. What Makes This Strategy Different</w:t>
      </w:r>
    </w:p>
    <w:p>
      <w:r>
        <w:t>Most sentiment models are shallow: based on social buzz or media chatter.</w:t>
      </w:r>
    </w:p>
    <w:p>
      <w:r>
        <w:t>This strategy is built on a deep theory of character:</w:t>
        <w:br/>
        <w:t xml:space="preserve">  - Calm. Consistent. Quietly competent.</w:t>
        <w:br/>
        <w:t xml:space="preserve">  - Doesn’t flinch under pressure. Doesn’t overperform for attention.</w:t>
        <w:br/>
        <w:t xml:space="preserve">  - Produces on time. Delivers with pride.</w:t>
      </w:r>
    </w:p>
    <w:p>
      <w:r>
        <w:t>It fuses business intuition (the kind you embody) with quantitative logic through material mapping. It respects the balance between emotional understanding and grounded statistics.</w:t>
      </w:r>
    </w:p>
    <w:p>
      <w:r>
        <w:t>5. Real-World Examples: Target Sentimentalization in Action</w:t>
      </w:r>
    </w:p>
    <w:p>
      <w:r>
        <w:t>1. Small to Medium Enterprise</w:t>
        <w:br/>
        <w:t>- Synaptics Inc.</w:t>
        <w:br/>
        <w:t xml:space="preserve">  - Employees: ~1,300</w:t>
        <w:br/>
        <w:t xml:space="preserve">  - Quietly powers touch and AI interfaces in cars, PCs, and devices.</w:t>
        <w:br/>
        <w:t xml:space="preserve">  - Reliable delivery, strong engineering, low PR noise.</w:t>
      </w:r>
    </w:p>
    <w:p>
      <w:r>
        <w:t>2. Mid to Large Cap</w:t>
        <w:br/>
        <w:t>- Fortinet</w:t>
        <w:br/>
        <w:t xml:space="preserve">  - Employees: ~13,000</w:t>
        <w:br/>
        <w:t xml:space="preserve">  - Cybersecurity company with a strong consistency record.</w:t>
        <w:br/>
        <w:t xml:space="preserve">  - Founder-led, under-recognized compared to flashier peers like Palo Alto Networks.</w:t>
      </w:r>
    </w:p>
    <w:p>
      <w:r>
        <w:t>3. Enterprise Giant</w:t>
        <w:br/>
        <w:t>- Texas Instruments</w:t>
        <w:br/>
        <w:t xml:space="preserve">  - Employees: ~34,000</w:t>
        <w:br/>
        <w:t xml:space="preserve">  - Known for long-term planning, consistent dividends, and supply resilience.</w:t>
        <w:br/>
        <w:t xml:space="preserve">  - Doesn’t chase headlines, just delivers semiconductors at scale.</w:t>
      </w:r>
    </w:p>
    <w:p>
      <w:r>
        <w:t>Companies That Do Not Qualify</w:t>
        <w:br/>
        <w:t>- Meta (Facebook): Performs for perception; inconsistent value behavior.</w:t>
        <w:br/>
        <w:t>- WeWork: Replication of buzzwords, no grounding.</w:t>
        <w:br/>
        <w:t>- Peloton: Emotional boom, structural instability.</w:t>
      </w:r>
    </w:p>
    <w:p>
      <w:r>
        <w:t>6. Materials Mapping Snapshot</w:t>
      </w:r>
    </w:p>
    <w:p>
      <w:r>
        <w:t>Sample table excerpt – full table available:</w:t>
      </w:r>
    </w:p>
    <w:p>
      <w:r>
        <w:t>| Material         | No. of Major Producers | Key Companies              |</w:t>
        <w:br/>
        <w:t>|------------------|------------------------|-----------------------------|</w:t>
        <w:br/>
        <w:t>| Hafnium          | &lt; 5                    | Alkane Resources (AU), others (unlisted)</w:t>
        <w:br/>
        <w:t>| Cobalt           | ~12                    | Glencore, Umicore</w:t>
        <w:br/>
        <w:t>| Gallium Arsenide | ~7                     | Qorvo, Skyworks</w:t>
        <w:br/>
        <w:t>| Rare Earths      | ~10                    | Lynas, MP Materials</w:t>
        <w:br/>
        <w:t>| Tungsten         | ~8                     | Almonty Industries, CMOC</w:t>
        <w:br/>
        <w:t>| Copper           | Many                   | Freeport-McMoRan, Southern Copper</w:t>
      </w:r>
    </w:p>
    <w:p>
      <w:r>
        <w:t>This concentration reveals vulnerability and opportunity—a trader’s compass.</w:t>
      </w:r>
    </w:p>
    <w:p>
      <w:r>
        <w:t>7. Conclusion: Call to Exploration</w:t>
      </w:r>
    </w:p>
    <w:p>
      <w:r>
        <w:t>Rather than asking for investment, I ask for your lens.</w:t>
      </w:r>
    </w:p>
    <w:p>
      <w:r>
        <w:t>Let’s walk through:</w:t>
        <w:br/>
        <w:t>- The philosophy behind the logic</w:t>
        <w:br/>
        <w:t>- The material mapping</w:t>
        <w:br/>
        <w:t>- The sentiment criteria applied to real companies</w:t>
      </w:r>
    </w:p>
    <w:p>
      <w:r>
        <w:t>You’ll spot gaps I missed. You’ll reframe it sharper. Because if this is to be built, it should be built with clarity and discipline—the kind you’ve practiced for decades.</w:t>
      </w:r>
    </w:p>
    <w:tbl>
      <w:tblPr>
        <w:tblStyle w:val="TableGrid"/>
        <w:tblW w:type="auto" w:w="0"/>
        <w:tblLook w:firstColumn="1" w:firstRow="1" w:lastColumn="0" w:lastRow="0" w:noHBand="0" w:noVBand="1" w:val="04A0"/>
      </w:tblPr>
      <w:tblGrid>
        <w:gridCol w:w="2880"/>
        <w:gridCol w:w="2880"/>
        <w:gridCol w:w="2880"/>
      </w:tblGrid>
      <w:tr>
        <w:tc>
          <w:tcPr>
            <w:tcW w:type="dxa" w:w="2880"/>
          </w:tcPr>
          <w:p>
            <w:r>
              <w:t>Material</w:t>
            </w:r>
          </w:p>
        </w:tc>
        <w:tc>
          <w:tcPr>
            <w:tcW w:type="dxa" w:w="2880"/>
          </w:tcPr>
          <w:p>
            <w:r>
              <w:t>No. of Major Producers</w:t>
            </w:r>
          </w:p>
        </w:tc>
        <w:tc>
          <w:tcPr>
            <w:tcW w:type="dxa" w:w="2880"/>
          </w:tcPr>
          <w:p>
            <w:r>
              <w:t>Key Companies</w:t>
            </w:r>
          </w:p>
        </w:tc>
      </w:tr>
      <w:tr>
        <w:tc>
          <w:tcPr>
            <w:tcW w:type="dxa" w:w="2880"/>
          </w:tcPr>
          <w:p>
            <w:r>
              <w:t>Hafnium</w:t>
            </w:r>
          </w:p>
        </w:tc>
        <w:tc>
          <w:tcPr>
            <w:tcW w:type="dxa" w:w="2880"/>
          </w:tcPr>
          <w:p>
            <w:r>
              <w:t>&lt; 5</w:t>
            </w:r>
          </w:p>
        </w:tc>
        <w:tc>
          <w:tcPr>
            <w:tcW w:type="dxa" w:w="2880"/>
          </w:tcPr>
          <w:p>
            <w:r>
              <w:t>Alkane Resources (AU), others (unlisted)</w:t>
            </w:r>
          </w:p>
        </w:tc>
      </w:tr>
      <w:tr>
        <w:tc>
          <w:tcPr>
            <w:tcW w:type="dxa" w:w="2880"/>
          </w:tcPr>
          <w:p>
            <w:r>
              <w:t>Cobalt</w:t>
            </w:r>
          </w:p>
        </w:tc>
        <w:tc>
          <w:tcPr>
            <w:tcW w:type="dxa" w:w="2880"/>
          </w:tcPr>
          <w:p>
            <w:r>
              <w:t>~12</w:t>
            </w:r>
          </w:p>
        </w:tc>
        <w:tc>
          <w:tcPr>
            <w:tcW w:type="dxa" w:w="2880"/>
          </w:tcPr>
          <w:p>
            <w:r>
              <w:t>Glencore, Umicore</w:t>
            </w:r>
          </w:p>
        </w:tc>
      </w:tr>
      <w:tr>
        <w:tc>
          <w:tcPr>
            <w:tcW w:type="dxa" w:w="2880"/>
          </w:tcPr>
          <w:p>
            <w:r>
              <w:t>Gallium Arsenide</w:t>
            </w:r>
          </w:p>
        </w:tc>
        <w:tc>
          <w:tcPr>
            <w:tcW w:type="dxa" w:w="2880"/>
          </w:tcPr>
          <w:p>
            <w:r>
              <w:t>~7</w:t>
            </w:r>
          </w:p>
        </w:tc>
        <w:tc>
          <w:tcPr>
            <w:tcW w:type="dxa" w:w="2880"/>
          </w:tcPr>
          <w:p>
            <w:r>
              <w:t>Qorvo, Skyworks</w:t>
            </w:r>
          </w:p>
        </w:tc>
      </w:tr>
      <w:tr>
        <w:tc>
          <w:tcPr>
            <w:tcW w:type="dxa" w:w="2880"/>
          </w:tcPr>
          <w:p>
            <w:r>
              <w:t>Rare Earths</w:t>
            </w:r>
          </w:p>
        </w:tc>
        <w:tc>
          <w:tcPr>
            <w:tcW w:type="dxa" w:w="2880"/>
          </w:tcPr>
          <w:p>
            <w:r>
              <w:t>~10</w:t>
            </w:r>
          </w:p>
        </w:tc>
        <w:tc>
          <w:tcPr>
            <w:tcW w:type="dxa" w:w="2880"/>
          </w:tcPr>
          <w:p>
            <w:r>
              <w:t>Lynas, MP Materials</w:t>
            </w:r>
          </w:p>
        </w:tc>
      </w:tr>
      <w:tr>
        <w:tc>
          <w:tcPr>
            <w:tcW w:type="dxa" w:w="2880"/>
          </w:tcPr>
          <w:p>
            <w:r>
              <w:t>Tungsten</w:t>
            </w:r>
          </w:p>
        </w:tc>
        <w:tc>
          <w:tcPr>
            <w:tcW w:type="dxa" w:w="2880"/>
          </w:tcPr>
          <w:p>
            <w:r>
              <w:t>~8</w:t>
            </w:r>
          </w:p>
        </w:tc>
        <w:tc>
          <w:tcPr>
            <w:tcW w:type="dxa" w:w="2880"/>
          </w:tcPr>
          <w:p>
            <w:r>
              <w:t>Almonty Industries, CMOC</w:t>
            </w:r>
          </w:p>
        </w:tc>
      </w:tr>
      <w:tr>
        <w:tc>
          <w:tcPr>
            <w:tcW w:type="dxa" w:w="2880"/>
          </w:tcPr>
          <w:p>
            <w:r>
              <w:t>Copper</w:t>
            </w:r>
          </w:p>
        </w:tc>
        <w:tc>
          <w:tcPr>
            <w:tcW w:type="dxa" w:w="2880"/>
          </w:tcPr>
          <w:p>
            <w:r>
              <w:t>Many</w:t>
            </w:r>
          </w:p>
        </w:tc>
        <w:tc>
          <w:tcPr>
            <w:tcW w:type="dxa" w:w="2880"/>
          </w:tcPr>
          <w:p>
            <w:r>
              <w:t>Freeport-McMoRan, Southern Copper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