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915A" w14:textId="77777777" w:rsidR="00562912" w:rsidRDefault="00562912" w:rsidP="004760BD">
      <w:pPr>
        <w:jc w:val="left"/>
        <w:rPr>
          <w:b/>
        </w:rPr>
      </w:pPr>
    </w:p>
    <w:p w14:paraId="3F73915B" w14:textId="77777777" w:rsidR="00562912" w:rsidRPr="00562912" w:rsidRDefault="00562912" w:rsidP="004760BD">
      <w:pPr>
        <w:jc w:val="left"/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3F73915C" w14:textId="397E574B" w:rsidR="00562912" w:rsidRPr="009130AD" w:rsidRDefault="00565DB9" w:rsidP="004760BD">
      <w:pPr>
        <w:jc w:val="left"/>
        <w:rPr>
          <w:lang w:val="en-US"/>
        </w:rPr>
      </w:pPr>
      <w:r w:rsidRPr="009130AD">
        <w:rPr>
          <w:lang w:val="en-US"/>
        </w:rPr>
        <w:t>INC-N1_PROBTP_</w:t>
      </w:r>
      <w:r w:rsidR="009130AD">
        <w:rPr>
          <w:lang w:val="en-US"/>
        </w:rPr>
        <w:t>ALL</w:t>
      </w:r>
      <w:r w:rsidRPr="009130AD">
        <w:rPr>
          <w:lang w:val="en-US"/>
        </w:rPr>
        <w:t>_O365-OUTLOOK_ALL_Reinitialiser-Double-Authentification_1.0</w:t>
      </w:r>
      <w:r w:rsidR="00562912" w:rsidRPr="009130AD">
        <w:rPr>
          <w:lang w:val="en-US"/>
        </w:rPr>
        <w:t>.</w:t>
      </w:r>
    </w:p>
    <w:p w14:paraId="3F73915D" w14:textId="77777777" w:rsidR="00562912" w:rsidRPr="009130AD" w:rsidRDefault="00562912" w:rsidP="004760BD">
      <w:pPr>
        <w:jc w:val="left"/>
        <w:rPr>
          <w:lang w:val="en-US"/>
        </w:rPr>
      </w:pPr>
    </w:p>
    <w:p w14:paraId="3F73915E" w14:textId="25C9B77D" w:rsidR="00331B0A" w:rsidRDefault="00EA4A60" w:rsidP="004760BD">
      <w:pPr>
        <w:pStyle w:val="Titre1"/>
        <w:jc w:val="left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3F739161" w14:textId="77777777" w:rsidTr="0049122F">
        <w:tc>
          <w:tcPr>
            <w:tcW w:w="3209" w:type="dxa"/>
            <w:shd w:val="clear" w:color="auto" w:fill="FDE9D9"/>
          </w:tcPr>
          <w:p w14:paraId="3F73915F" w14:textId="77777777" w:rsidR="00684C8D" w:rsidRPr="0049122F" w:rsidRDefault="00684C8D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3F739160" w14:textId="5C2C445E" w:rsidR="00684C8D" w:rsidRPr="0049122F" w:rsidRDefault="00853C44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3F739164" w14:textId="77777777" w:rsidTr="0049122F">
        <w:tc>
          <w:tcPr>
            <w:tcW w:w="3209" w:type="dxa"/>
            <w:shd w:val="clear" w:color="auto" w:fill="FDE9D9"/>
          </w:tcPr>
          <w:p w14:paraId="3F739162" w14:textId="77777777" w:rsidR="00684C8D" w:rsidRPr="0049122F" w:rsidRDefault="00684C8D" w:rsidP="004760BD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F739163" w14:textId="40A9058D" w:rsidR="00684C8D" w:rsidRPr="0049122F" w:rsidRDefault="00853C44" w:rsidP="004760BD">
            <w:pPr>
              <w:jc w:val="center"/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3F739167" w14:textId="77777777" w:rsidTr="0049122F">
        <w:tc>
          <w:tcPr>
            <w:tcW w:w="3209" w:type="dxa"/>
            <w:shd w:val="clear" w:color="auto" w:fill="FDE9D9"/>
          </w:tcPr>
          <w:p w14:paraId="3F739165" w14:textId="77777777" w:rsidR="00684C8D" w:rsidRPr="0049122F" w:rsidRDefault="00684C8D" w:rsidP="004760BD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="009E653D" w:rsidRPr="0049122F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14:paraId="3F739166" w14:textId="47D44891" w:rsidR="00684C8D" w:rsidRPr="0049122F" w:rsidRDefault="00853C44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3F73916A" w14:textId="77777777" w:rsidTr="0049122F">
        <w:tc>
          <w:tcPr>
            <w:tcW w:w="3209" w:type="dxa"/>
            <w:shd w:val="clear" w:color="auto" w:fill="FDE9D9"/>
          </w:tcPr>
          <w:p w14:paraId="3F739168" w14:textId="77777777" w:rsidR="00684C8D" w:rsidRPr="0049122F" w:rsidRDefault="0019114E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 xml:space="preserve">Accès </w:t>
            </w:r>
            <w:proofErr w:type="spellStart"/>
            <w:r w:rsidRPr="0049122F">
              <w:rPr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/>
          </w:tcPr>
          <w:p w14:paraId="3F739169" w14:textId="39606A28" w:rsidR="00684C8D" w:rsidRPr="0049122F" w:rsidRDefault="00853C44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</w:tbl>
    <w:p w14:paraId="3F73916B" w14:textId="77777777" w:rsidR="00415668" w:rsidRPr="0049122F" w:rsidRDefault="00415668" w:rsidP="004760BD">
      <w:pPr>
        <w:jc w:val="left"/>
      </w:pPr>
    </w:p>
    <w:p w14:paraId="3F73916C" w14:textId="77777777" w:rsidR="00415668" w:rsidRPr="0049122F" w:rsidRDefault="00415668" w:rsidP="004760BD">
      <w:pPr>
        <w:jc w:val="left"/>
      </w:pPr>
    </w:p>
    <w:p w14:paraId="3F73916D" w14:textId="040606BC" w:rsidR="00651CE0" w:rsidRDefault="00FA263E" w:rsidP="004760BD">
      <w:pPr>
        <w:pStyle w:val="Titre1"/>
        <w:pBdr>
          <w:bottom w:val="single" w:sz="12" w:space="4" w:color="C0504D"/>
        </w:pBdr>
        <w:jc w:val="left"/>
      </w:pPr>
      <w:r w:rsidRPr="00742989">
        <w:t>PARAMÈTRE D’ENTRÉE</w:t>
      </w:r>
      <w:r w:rsidR="00651CE0">
        <w:t xml:space="preserve"> </w:t>
      </w:r>
    </w:p>
    <w:p w14:paraId="3F73916E" w14:textId="77777777" w:rsidR="00562912" w:rsidRPr="0049122F" w:rsidRDefault="00924BED" w:rsidP="004760BD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3F73916F" w14:textId="77777777" w:rsidR="00924BED" w:rsidRPr="0049122F" w:rsidRDefault="00924BED" w:rsidP="004760BD">
      <w:pPr>
        <w:jc w:val="left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14:paraId="3F739173" w14:textId="77777777" w:rsidTr="0049122F">
        <w:tc>
          <w:tcPr>
            <w:tcW w:w="421" w:type="dxa"/>
            <w:shd w:val="clear" w:color="auto" w:fill="FDE9D9"/>
          </w:tcPr>
          <w:p w14:paraId="3F739170" w14:textId="77777777" w:rsidR="00446F05" w:rsidRPr="0049122F" w:rsidRDefault="00446F05" w:rsidP="004760BD">
            <w:pPr>
              <w:jc w:val="center"/>
            </w:pPr>
          </w:p>
        </w:tc>
        <w:tc>
          <w:tcPr>
            <w:tcW w:w="3260" w:type="dxa"/>
            <w:shd w:val="clear" w:color="auto" w:fill="FDE9D9"/>
          </w:tcPr>
          <w:p w14:paraId="3F739171" w14:textId="77777777" w:rsidR="00446F05" w:rsidRPr="0049122F" w:rsidRDefault="008B2FAD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14:paraId="3F739172" w14:textId="77777777" w:rsidR="00446F05" w:rsidRPr="0049122F" w:rsidRDefault="00446F05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14:paraId="3F739177" w14:textId="77777777" w:rsidTr="0049122F">
        <w:tc>
          <w:tcPr>
            <w:tcW w:w="421" w:type="dxa"/>
            <w:shd w:val="clear" w:color="auto" w:fill="FDE9D9"/>
          </w:tcPr>
          <w:p w14:paraId="3F739174" w14:textId="77777777" w:rsidR="00446F05" w:rsidRPr="0049122F" w:rsidRDefault="00446F05" w:rsidP="004760BD">
            <w:pPr>
              <w:jc w:val="center"/>
            </w:pPr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14:paraId="3F739175" w14:textId="77777777" w:rsidR="00446F05" w:rsidRPr="0049122F" w:rsidRDefault="00446F05" w:rsidP="004760BD">
            <w:pPr>
              <w:jc w:val="center"/>
            </w:pPr>
          </w:p>
        </w:tc>
        <w:tc>
          <w:tcPr>
            <w:tcW w:w="3685" w:type="dxa"/>
            <w:shd w:val="clear" w:color="auto" w:fill="auto"/>
          </w:tcPr>
          <w:p w14:paraId="3F739176" w14:textId="77777777" w:rsidR="00446F05" w:rsidRPr="0049122F" w:rsidRDefault="00446F05" w:rsidP="004760B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9122F" w14:paraId="3F73917B" w14:textId="77777777" w:rsidTr="0049122F">
        <w:tc>
          <w:tcPr>
            <w:tcW w:w="421" w:type="dxa"/>
            <w:shd w:val="clear" w:color="auto" w:fill="FDE9D9"/>
          </w:tcPr>
          <w:p w14:paraId="3F739178" w14:textId="77777777" w:rsidR="00446F05" w:rsidRPr="0049122F" w:rsidRDefault="00446F05" w:rsidP="004760BD">
            <w:pPr>
              <w:jc w:val="center"/>
            </w:pPr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14:paraId="3F739179" w14:textId="77777777" w:rsidR="00446F05" w:rsidRPr="0049122F" w:rsidRDefault="00446F05" w:rsidP="004760BD">
            <w:pPr>
              <w:jc w:val="center"/>
            </w:pPr>
          </w:p>
        </w:tc>
        <w:tc>
          <w:tcPr>
            <w:tcW w:w="3685" w:type="dxa"/>
            <w:shd w:val="clear" w:color="auto" w:fill="auto"/>
          </w:tcPr>
          <w:p w14:paraId="3F73917A" w14:textId="77777777" w:rsidR="00446F05" w:rsidRPr="0049122F" w:rsidRDefault="00446F05" w:rsidP="004760B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9122F" w14:paraId="3F73917F" w14:textId="77777777" w:rsidTr="0049122F">
        <w:tc>
          <w:tcPr>
            <w:tcW w:w="421" w:type="dxa"/>
            <w:shd w:val="clear" w:color="auto" w:fill="FDE9D9"/>
          </w:tcPr>
          <w:p w14:paraId="3F73917C" w14:textId="77777777" w:rsidR="00446F05" w:rsidRPr="0049122F" w:rsidRDefault="00446F05" w:rsidP="004760BD">
            <w:pPr>
              <w:jc w:val="center"/>
            </w:pPr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14:paraId="3F73917D" w14:textId="77777777" w:rsidR="00446F05" w:rsidRPr="0049122F" w:rsidRDefault="00446F05" w:rsidP="004760BD">
            <w:pPr>
              <w:jc w:val="center"/>
            </w:pPr>
          </w:p>
        </w:tc>
        <w:tc>
          <w:tcPr>
            <w:tcW w:w="3685" w:type="dxa"/>
            <w:shd w:val="clear" w:color="auto" w:fill="auto"/>
          </w:tcPr>
          <w:p w14:paraId="3F73917E" w14:textId="77777777" w:rsidR="00446F05" w:rsidRPr="0049122F" w:rsidRDefault="00446F05" w:rsidP="004760BD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3F739180" w14:textId="77777777" w:rsidR="00562912" w:rsidRPr="0049122F" w:rsidRDefault="00562912" w:rsidP="004760BD">
      <w:pPr>
        <w:jc w:val="left"/>
      </w:pPr>
    </w:p>
    <w:p w14:paraId="3F739181" w14:textId="77777777" w:rsidR="00415668" w:rsidRPr="0049122F" w:rsidRDefault="00415668" w:rsidP="004760BD">
      <w:pPr>
        <w:jc w:val="left"/>
      </w:pPr>
    </w:p>
    <w:p w14:paraId="3F739182" w14:textId="77777777" w:rsidR="00A95E55" w:rsidRPr="0049122F" w:rsidRDefault="00274C3F" w:rsidP="004760BD">
      <w:pPr>
        <w:pStyle w:val="Titre1"/>
        <w:jc w:val="left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3F73918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3F739183" w14:textId="77777777" w:rsidR="00425DD5" w:rsidRPr="0049122F" w:rsidRDefault="00425DD5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3F739184" w14:textId="77777777" w:rsidR="00425DD5" w:rsidRPr="0049122F" w:rsidRDefault="00425DD5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3F739185" w14:textId="77777777" w:rsidR="00425DD5" w:rsidRPr="0049122F" w:rsidRDefault="00425DD5" w:rsidP="004760BD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3F73918A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3F739187" w14:textId="77777777" w:rsidR="00425DD5" w:rsidRPr="0049122F" w:rsidRDefault="00425DD5" w:rsidP="004760BD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3F739188" w14:textId="77777777" w:rsidR="00425DD5" w:rsidRPr="0049122F" w:rsidRDefault="00425DD5" w:rsidP="004760BD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F739189" w14:textId="77777777" w:rsidR="00425DD5" w:rsidRPr="0049122F" w:rsidRDefault="00425DD5" w:rsidP="004760BD">
            <w:pPr>
              <w:jc w:val="center"/>
              <w:rPr>
                <w:b/>
                <w:bCs/>
              </w:rPr>
            </w:pPr>
          </w:p>
        </w:tc>
      </w:tr>
    </w:tbl>
    <w:p w14:paraId="3F73918B" w14:textId="77777777" w:rsidR="00C73E50" w:rsidRPr="0049122F" w:rsidRDefault="00C73E50" w:rsidP="004760BD">
      <w:pPr>
        <w:jc w:val="left"/>
      </w:pPr>
    </w:p>
    <w:p w14:paraId="3F73918C" w14:textId="77777777" w:rsidR="00A95E55" w:rsidRPr="0049122F" w:rsidRDefault="00A95E55" w:rsidP="004760BD">
      <w:pPr>
        <w:jc w:val="left"/>
        <w:rPr>
          <w:b/>
          <w:bCs/>
        </w:rPr>
      </w:pPr>
      <w:r w:rsidRPr="0049122F">
        <w:rPr>
          <w:b/>
          <w:bCs/>
        </w:rPr>
        <w:t>Liste des impacts liés à la réalisation de procédure :</w:t>
      </w:r>
    </w:p>
    <w:p w14:paraId="3F73918D" w14:textId="77777777" w:rsidR="00D82BD0" w:rsidRPr="0049122F" w:rsidRDefault="00D82BD0" w:rsidP="004760BD">
      <w:pPr>
        <w:jc w:val="left"/>
        <w:rPr>
          <w:b/>
          <w:bCs/>
        </w:rPr>
      </w:pPr>
    </w:p>
    <w:p w14:paraId="3F73918E" w14:textId="77777777" w:rsidR="007B30C3" w:rsidRPr="0049122F" w:rsidRDefault="007B30C3" w:rsidP="004760BD">
      <w:pPr>
        <w:jc w:val="left"/>
        <w:rPr>
          <w:b/>
          <w:bCs/>
        </w:rPr>
      </w:pPr>
    </w:p>
    <w:p w14:paraId="3F73918F" w14:textId="77777777" w:rsidR="00F7013B" w:rsidRPr="0049122F" w:rsidRDefault="00F7013B" w:rsidP="004760BD">
      <w:pPr>
        <w:pStyle w:val="Titre1"/>
        <w:jc w:val="left"/>
      </w:pPr>
      <w:r w:rsidRPr="0049122F">
        <w:t xml:space="preserve">Points importants </w:t>
      </w:r>
    </w:p>
    <w:p w14:paraId="3F739190" w14:textId="77777777" w:rsidR="00F7013B" w:rsidRPr="0049122F" w:rsidRDefault="00F7013B" w:rsidP="004760BD">
      <w:pPr>
        <w:jc w:val="left"/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14:paraId="3F739191" w14:textId="77777777" w:rsidR="00415668" w:rsidRPr="0049122F" w:rsidRDefault="00415668" w:rsidP="004760BD">
      <w:pPr>
        <w:jc w:val="left"/>
      </w:pPr>
    </w:p>
    <w:p w14:paraId="3F739192" w14:textId="77777777" w:rsidR="00415668" w:rsidRPr="0049122F" w:rsidRDefault="00415668" w:rsidP="004760BD">
      <w:pPr>
        <w:jc w:val="left"/>
      </w:pPr>
    </w:p>
    <w:p w14:paraId="3F739193" w14:textId="3C881EF9" w:rsidR="00274C3F" w:rsidRPr="0049122F" w:rsidRDefault="00F3711D" w:rsidP="004760BD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3F739194" w14:textId="77777777" w:rsidR="005F312D" w:rsidRPr="0049122F" w:rsidRDefault="005F312D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</w:rPr>
      </w:pPr>
    </w:p>
    <w:p w14:paraId="3F739195" w14:textId="40C8AF0F" w:rsidR="005F312D" w:rsidRPr="00726EAF" w:rsidRDefault="005F312D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 xml:space="preserve">1. </w:t>
      </w:r>
      <w:r w:rsidR="009555A5" w:rsidRPr="00726EAF">
        <w:rPr>
          <w:rFonts w:cs="Calibri"/>
          <w:color w:val="000000"/>
          <w:sz w:val="22"/>
          <w:szCs w:val="22"/>
        </w:rPr>
        <w:t>Au cas de problème sur la double-authentification sur Outlook-Teams pour les raisons suivants :</w:t>
      </w:r>
    </w:p>
    <w:p w14:paraId="6DF09834" w14:textId="43D2F1DA" w:rsidR="009555A5" w:rsidRPr="00726EAF" w:rsidRDefault="009555A5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</w:p>
    <w:p w14:paraId="0E951DCD" w14:textId="79EE51EA" w:rsidR="009555A5" w:rsidRPr="00726EAF" w:rsidRDefault="009555A5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726EAF">
        <w:rPr>
          <w:rFonts w:cs="Calibri"/>
          <w:color w:val="000000"/>
          <w:sz w:val="22"/>
          <w:szCs w:val="22"/>
        </w:rPr>
        <w:t>- Numéro de téléphone n’est pas bon</w:t>
      </w:r>
    </w:p>
    <w:p w14:paraId="7B53D06A" w14:textId="6EA2CA1B" w:rsidR="009555A5" w:rsidRPr="00726EAF" w:rsidRDefault="009555A5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726EAF">
        <w:rPr>
          <w:rFonts w:cs="Calibri"/>
          <w:color w:val="000000"/>
          <w:sz w:val="22"/>
          <w:szCs w:val="22"/>
        </w:rPr>
        <w:t xml:space="preserve">- Problème sur l’application Microsoft </w:t>
      </w:r>
      <w:proofErr w:type="spellStart"/>
      <w:r w:rsidR="006B52F7">
        <w:rPr>
          <w:rFonts w:cs="Calibri"/>
          <w:color w:val="000000"/>
          <w:sz w:val="22"/>
          <w:szCs w:val="22"/>
        </w:rPr>
        <w:t>A</w:t>
      </w:r>
      <w:r w:rsidRPr="00726EAF">
        <w:rPr>
          <w:rFonts w:cs="Calibri"/>
          <w:color w:val="000000"/>
          <w:sz w:val="22"/>
          <w:szCs w:val="22"/>
        </w:rPr>
        <w:t>uthenticator</w:t>
      </w:r>
      <w:proofErr w:type="spellEnd"/>
      <w:r w:rsidRPr="00726EAF">
        <w:rPr>
          <w:rFonts w:cs="Calibri"/>
          <w:color w:val="000000"/>
          <w:sz w:val="22"/>
          <w:szCs w:val="22"/>
        </w:rPr>
        <w:t xml:space="preserve"> (applis supprimer où l’utilisateur ne reçoit pas la demande d’authentification)</w:t>
      </w:r>
    </w:p>
    <w:p w14:paraId="31D90F2C" w14:textId="6F27D4F0" w:rsidR="009555A5" w:rsidRPr="00726EAF" w:rsidRDefault="009555A5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</w:p>
    <w:p w14:paraId="6620DFBD" w14:textId="61295DD5" w:rsidR="009555A5" w:rsidRPr="00726EAF" w:rsidRDefault="009555A5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726EAF">
        <w:rPr>
          <w:rFonts w:cs="Calibri"/>
          <w:color w:val="000000"/>
          <w:sz w:val="22"/>
          <w:szCs w:val="22"/>
        </w:rPr>
        <w:t>Envoyer l’incident à SECOPS-ID pour réinitialiser la double authentification</w:t>
      </w:r>
    </w:p>
    <w:p w14:paraId="3F73919C" w14:textId="77777777" w:rsidR="00562912" w:rsidRPr="0049122F" w:rsidRDefault="00562912" w:rsidP="004760BD">
      <w:pPr>
        <w:jc w:val="left"/>
      </w:pPr>
    </w:p>
    <w:p w14:paraId="3F73919D" w14:textId="77777777" w:rsidR="0002503A" w:rsidRPr="0049122F" w:rsidRDefault="0002503A" w:rsidP="004760BD">
      <w:pPr>
        <w:widowControl/>
        <w:jc w:val="left"/>
      </w:pPr>
      <w:r w:rsidRPr="0049122F">
        <w:br w:type="page"/>
      </w:r>
    </w:p>
    <w:p w14:paraId="3F73919E" w14:textId="77777777" w:rsidR="0002503A" w:rsidRPr="0049122F" w:rsidRDefault="0002503A" w:rsidP="004760BD">
      <w:pPr>
        <w:jc w:val="left"/>
      </w:pPr>
    </w:p>
    <w:p w14:paraId="3F7391A1" w14:textId="53536DD2" w:rsidR="00274C3F" w:rsidRPr="009555A5" w:rsidRDefault="00825AA8" w:rsidP="004760BD">
      <w:pPr>
        <w:pStyle w:val="Titre1"/>
        <w:jc w:val="left"/>
      </w:pPr>
      <w:r w:rsidRPr="0049122F">
        <w:t>V</w:t>
      </w:r>
      <w:r w:rsidRPr="0044718C">
        <w:t>É</w:t>
      </w:r>
      <w:r w:rsidRPr="0049122F">
        <w:t>rification</w:t>
      </w:r>
    </w:p>
    <w:p w14:paraId="3F7391A2" w14:textId="484FFB79" w:rsidR="00416C92" w:rsidRPr="0049122F" w:rsidRDefault="00416C92" w:rsidP="004760B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1.</w:t>
      </w:r>
      <w:r w:rsidRPr="0049122F">
        <w:rPr>
          <w:rFonts w:cs="Calibri"/>
          <w:color w:val="FF0000"/>
          <w:sz w:val="22"/>
          <w:szCs w:val="22"/>
        </w:rPr>
        <w:t xml:space="preserve"> </w:t>
      </w:r>
      <w:r w:rsidRPr="0049122F">
        <w:rPr>
          <w:rFonts w:cs="Calibri"/>
          <w:color w:val="000000"/>
          <w:sz w:val="22"/>
          <w:szCs w:val="22"/>
        </w:rPr>
        <w:t xml:space="preserve"> </w:t>
      </w:r>
      <w:r w:rsidR="009555A5">
        <w:rPr>
          <w:rFonts w:cs="Calibri"/>
          <w:color w:val="000000"/>
          <w:sz w:val="22"/>
          <w:szCs w:val="22"/>
        </w:rPr>
        <w:t>Connexion Outlook OK</w:t>
      </w:r>
    </w:p>
    <w:p w14:paraId="3F7391A6" w14:textId="77777777" w:rsidR="000E4E06" w:rsidRPr="0049122F" w:rsidRDefault="000E4E06" w:rsidP="004760BD">
      <w:pPr>
        <w:jc w:val="left"/>
        <w:rPr>
          <w:rFonts w:cs="Calibri"/>
          <w:b/>
          <w:bCs/>
          <w:color w:val="000000"/>
        </w:rPr>
      </w:pPr>
    </w:p>
    <w:p w14:paraId="3F7391A7" w14:textId="77777777" w:rsidR="000E4E06" w:rsidRPr="0049122F" w:rsidRDefault="000E4E06" w:rsidP="004760BD">
      <w:pPr>
        <w:jc w:val="left"/>
      </w:pPr>
    </w:p>
    <w:p w14:paraId="3F7391AB" w14:textId="1C1A0846" w:rsidR="000E4E06" w:rsidRPr="009555A5" w:rsidRDefault="0037756A" w:rsidP="009555A5">
      <w:pPr>
        <w:pStyle w:val="Titre1"/>
        <w:jc w:val="left"/>
      </w:pPr>
      <w:r w:rsidRPr="0049122F">
        <w:t>En cas d’</w:t>
      </w:r>
      <w:r w:rsidRPr="0044718C">
        <w:t>É</w:t>
      </w:r>
      <w:r w:rsidRPr="0049122F">
        <w:t>chec</w:t>
      </w:r>
    </w:p>
    <w:p w14:paraId="3F7391AC" w14:textId="2772D248" w:rsidR="000E4E06" w:rsidRPr="0049122F" w:rsidRDefault="009555A5" w:rsidP="004760BD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  <w:r w:rsidRPr="009555A5">
        <w:rPr>
          <w:rFonts w:cs="Calibri"/>
          <w:b/>
          <w:bCs/>
          <w:color w:val="000000"/>
          <w:sz w:val="22"/>
          <w:szCs w:val="22"/>
        </w:rPr>
        <w:t>En cas d'échec transférer le ticket chez DIPI-SIT-</w:t>
      </w:r>
      <w:r>
        <w:rPr>
          <w:rFonts w:cs="Calibri"/>
          <w:b/>
          <w:bCs/>
          <w:color w:val="000000"/>
          <w:sz w:val="22"/>
          <w:szCs w:val="22"/>
        </w:rPr>
        <w:t>N2</w:t>
      </w:r>
    </w:p>
    <w:p w14:paraId="3F7391AD" w14:textId="77777777" w:rsidR="000E4E06" w:rsidRPr="0049122F" w:rsidRDefault="000E4E06" w:rsidP="004760BD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880CD" w14:textId="77777777" w:rsidR="0096709F" w:rsidRDefault="0096709F">
      <w:r>
        <w:separator/>
      </w:r>
    </w:p>
    <w:p w14:paraId="1161F52B" w14:textId="77777777" w:rsidR="0096709F" w:rsidRDefault="0096709F"/>
  </w:endnote>
  <w:endnote w:type="continuationSeparator" w:id="0">
    <w:p w14:paraId="0C0B1639" w14:textId="77777777" w:rsidR="0096709F" w:rsidRDefault="0096709F">
      <w:r>
        <w:continuationSeparator/>
      </w:r>
    </w:p>
    <w:p w14:paraId="2060384A" w14:textId="77777777" w:rsidR="0096709F" w:rsidRDefault="009670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7" w14:textId="77777777" w:rsidR="00FE1D24" w:rsidRDefault="0096709F" w:rsidP="00284987">
    <w:pPr>
      <w:pStyle w:val="Normalcentr1"/>
      <w:rPr>
        <w:i/>
        <w:sz w:val="18"/>
      </w:rPr>
    </w:pPr>
    <w:r>
      <w:rPr>
        <w:noProof/>
      </w:rPr>
      <w:pict w14:anchorId="3F7391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51" type="#_x0000_t75" style="position:absolute;left:0;text-align:left;margin-left:-49.65pt;margin-top:17.45pt;width:594pt;height:58.7pt;z-index:3;visibility:visible">
          <v:imagedata r:id="rId1" o:title=""/>
        </v:shape>
      </w:pict>
    </w:r>
  </w:p>
  <w:p w14:paraId="3F7391B8" w14:textId="77777777" w:rsidR="00FE1D24" w:rsidRDefault="00FE1D24" w:rsidP="00284987">
    <w:pPr>
      <w:pStyle w:val="Normalcentr1"/>
      <w:rPr>
        <w:i/>
        <w:sz w:val="18"/>
      </w:rPr>
    </w:pPr>
  </w:p>
  <w:p w14:paraId="3F7391B9" w14:textId="77777777" w:rsidR="00FE1D24" w:rsidRDefault="00FE1D24" w:rsidP="00284987">
    <w:pPr>
      <w:pStyle w:val="Normalcentr1"/>
      <w:rPr>
        <w:i/>
        <w:sz w:val="18"/>
      </w:rPr>
    </w:pPr>
  </w:p>
  <w:p w14:paraId="3F7391BA" w14:textId="77777777" w:rsidR="00FE1D24" w:rsidRDefault="00FE1D24" w:rsidP="00284987">
    <w:pPr>
      <w:pStyle w:val="Normalcentr1"/>
      <w:rPr>
        <w:i/>
        <w:sz w:val="18"/>
      </w:rPr>
    </w:pPr>
  </w:p>
  <w:p w14:paraId="3F7391BB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D" w14:textId="77777777" w:rsidR="00FE1D24" w:rsidRDefault="0096709F">
    <w:pPr>
      <w:pStyle w:val="Pieddepage"/>
    </w:pPr>
    <w:r>
      <w:rPr>
        <w:noProof/>
      </w:rPr>
      <w:pict w14:anchorId="3F7391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49" type="#_x0000_t75" style="position:absolute;left:0;text-align:left;margin-left:-48.9pt;margin-top:-9.1pt;width:594pt;height:58.7pt;z-index:2;visibility:visible">
          <v:imagedata r:id="rId1" o:title=""/>
        </v:shape>
      </w:pict>
    </w:r>
  </w:p>
  <w:p w14:paraId="3F7391BE" w14:textId="77777777" w:rsidR="00FE1D24" w:rsidRDefault="00FE1D24">
    <w:pPr>
      <w:pStyle w:val="Pieddepage"/>
    </w:pPr>
  </w:p>
  <w:p w14:paraId="3F7391BF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8BA7" w14:textId="77777777" w:rsidR="0096709F" w:rsidRDefault="0096709F">
      <w:r>
        <w:separator/>
      </w:r>
    </w:p>
    <w:p w14:paraId="296B5FF5" w14:textId="77777777" w:rsidR="0096709F" w:rsidRDefault="0096709F"/>
  </w:footnote>
  <w:footnote w:type="continuationSeparator" w:id="0">
    <w:p w14:paraId="0249FF4B" w14:textId="77777777" w:rsidR="0096709F" w:rsidRDefault="0096709F">
      <w:r>
        <w:continuationSeparator/>
      </w:r>
    </w:p>
    <w:p w14:paraId="6BD38A5A" w14:textId="77777777" w:rsidR="0096709F" w:rsidRDefault="009670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6" w14:textId="77777777" w:rsidR="00FB3925" w:rsidRDefault="0096709F">
    <w:pPr>
      <w:pStyle w:val="En-tte"/>
    </w:pPr>
    <w:r>
      <w:rPr>
        <w:noProof/>
      </w:rPr>
      <w:pict w14:anchorId="3F7391C0">
        <v:rect id="Rectangle 16" o:spid="_x0000_s2052" style="position:absolute;left:0;text-align:left;margin-left:-49.5pt;margin-top:-27.75pt;width:594pt;height:39.6pt;z-index: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 fillcolor="#00314c" stroked="f" strokeweight="2pt">
          <v:textbox>
            <w:txbxContent>
              <w:p w14:paraId="3F7391C4" w14:textId="77777777" w:rsidR="0002503A" w:rsidRPr="0049122F" w:rsidRDefault="0002503A" w:rsidP="0002503A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C" w14:textId="77777777" w:rsidR="00FE1D24" w:rsidRDefault="0096709F">
    <w:r>
      <w:rPr>
        <w:noProof/>
      </w:rPr>
      <w:pict w14:anchorId="3F7391C2">
        <v:rect id="Rectangle 4" o:spid="_x0000_s2050" style="position:absolute;left:0;text-align:left;margin-left:-48.9pt;margin-top:-27.6pt;width:594pt;height:39.6pt;z-index:1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 fillcolor="#00314c" stroked="f" strokeweight="2pt">
          <v:textbox>
            <w:txbxContent>
              <w:p w14:paraId="3F7391C5" w14:textId="77777777" w:rsidR="00FB3925" w:rsidRPr="0049122F" w:rsidRDefault="00FB3925" w:rsidP="00FB3925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6.9pt;height:16.9pt" o:bullet="t">
        <v:imagedata r:id="rId1" o:title="puce PBTP petit"/>
      </v:shape>
    </w:pict>
  </w:numPicBullet>
  <w:numPicBullet w:numPicBulletId="1">
    <w:pict>
      <v:shape id="_x0000_i1087" type="#_x0000_t75" style="width:53.2pt;height:85.1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4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7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4"/>
  </w:num>
  <w:num w:numId="5">
    <w:abstractNumId w:val="11"/>
  </w:num>
  <w:num w:numId="6">
    <w:abstractNumId w:val="15"/>
  </w:num>
  <w:num w:numId="7">
    <w:abstractNumId w:val="31"/>
  </w:num>
  <w:num w:numId="8">
    <w:abstractNumId w:val="20"/>
  </w:num>
  <w:num w:numId="9">
    <w:abstractNumId w:val="24"/>
  </w:num>
  <w:num w:numId="10">
    <w:abstractNumId w:val="19"/>
  </w:num>
  <w:num w:numId="11">
    <w:abstractNumId w:val="10"/>
  </w:num>
  <w:num w:numId="12">
    <w:abstractNumId w:val="5"/>
  </w:num>
  <w:num w:numId="13">
    <w:abstractNumId w:val="36"/>
  </w:num>
  <w:num w:numId="14">
    <w:abstractNumId w:val="28"/>
  </w:num>
  <w:num w:numId="15">
    <w:abstractNumId w:val="18"/>
  </w:num>
  <w:num w:numId="16">
    <w:abstractNumId w:val="38"/>
  </w:num>
  <w:num w:numId="17">
    <w:abstractNumId w:val="33"/>
  </w:num>
  <w:num w:numId="18">
    <w:abstractNumId w:val="32"/>
  </w:num>
  <w:num w:numId="19">
    <w:abstractNumId w:val="21"/>
  </w:num>
  <w:num w:numId="20">
    <w:abstractNumId w:val="29"/>
  </w:num>
  <w:num w:numId="21">
    <w:abstractNumId w:val="16"/>
  </w:num>
  <w:num w:numId="22">
    <w:abstractNumId w:val="14"/>
  </w:num>
  <w:num w:numId="23">
    <w:abstractNumId w:val="8"/>
  </w:num>
  <w:num w:numId="24">
    <w:abstractNumId w:val="34"/>
  </w:num>
  <w:num w:numId="25">
    <w:abstractNumId w:val="6"/>
  </w:num>
  <w:num w:numId="26">
    <w:abstractNumId w:val="2"/>
  </w:num>
  <w:num w:numId="27">
    <w:abstractNumId w:val="3"/>
  </w:num>
  <w:num w:numId="28">
    <w:abstractNumId w:val="27"/>
  </w:num>
  <w:num w:numId="29">
    <w:abstractNumId w:val="30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5"/>
  </w:num>
  <w:num w:numId="36">
    <w:abstractNumId w:val="15"/>
  </w:num>
  <w:num w:numId="37">
    <w:abstractNumId w:val="37"/>
  </w:num>
  <w:num w:numId="38">
    <w:abstractNumId w:val="22"/>
  </w:num>
  <w:num w:numId="39">
    <w:abstractNumId w:val="13"/>
  </w:num>
  <w:num w:numId="40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67A7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C7BFE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756A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4E2B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6420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0BD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487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DB9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2F7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26EAF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5AA8"/>
    <w:rsid w:val="008262A2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30AD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555A5"/>
    <w:rsid w:val="009621AE"/>
    <w:rsid w:val="00963154"/>
    <w:rsid w:val="00963308"/>
    <w:rsid w:val="00964591"/>
    <w:rsid w:val="009657A6"/>
    <w:rsid w:val="00965A12"/>
    <w:rsid w:val="0096709F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4A60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11D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263E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4BE2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3F73915A"/>
  <w15:docId w15:val="{67B263B2-BA77-4657-B609-4C8665D4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2" ma:contentTypeDescription="Crée un document." ma:contentTypeScope="" ma:versionID="a7d50ffb8423c034a21f7a8dc2c7f1e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f5396ee38af0127b150e5849af0db5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25480-5492-4707-81EC-F5897682E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1DB6BA-9B94-4BA0-88F3-2393C4F7F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A6689D-F13A-452D-9C20-E83C65EF352D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4.xml><?xml version="1.0" encoding="utf-8"?>
<ds:datastoreItem xmlns:ds="http://schemas.openxmlformats.org/officeDocument/2006/customXml" ds:itemID="{62DE2931-A565-4D1A-944A-0F09C673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ZAKI</cp:lastModifiedBy>
  <cp:revision>16</cp:revision>
  <cp:lastPrinted>2014-12-29T13:19:00Z</cp:lastPrinted>
  <dcterms:created xsi:type="dcterms:W3CDTF">2023-07-20T13:59:00Z</dcterms:created>
  <dcterms:modified xsi:type="dcterms:W3CDTF">2023-11-16T16:19:00Z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</Properties>
</file>