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(hodnoty v 5-ti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77777777" w:rsidR="000A5546" w:rsidRDefault="000A5546" w:rsidP="007139D1">
      <w:r>
        <w:t xml:space="preserve">V současné době existuje řada softwarových řešení pro stahování a agregaci dat z mobilních zařízení pro </w:t>
      </w:r>
      <w:r w:rsidR="00050450">
        <w:t>podporu při léčbě</w:t>
      </w:r>
      <w:r>
        <w:t xml:space="preserve"> pacientů s diabetem. Pro využití záznamů z různých přístrojů musí tedy mít pacient či lékař přístup i k různým aplikacím. Protože tyto aplikace nebývají mezi sebou kompatibilní, lze následně vyhodnocovat přenesená data pouze separovaně, tedy z každého zařízení zvlášť</w:t>
      </w:r>
      <w:r w:rsidRPr="00463C96">
        <w:t>, což snižuje uživatelský komfort či dokonce brání jejich praktickému využití.</w:t>
      </w:r>
    </w:p>
    <w:p w14:paraId="4B49FC97" w14:textId="77777777" w:rsidR="000A5546" w:rsidRDefault="000A5546" w:rsidP="007139D1">
      <w:r>
        <w:t>Moj</w:t>
      </w:r>
      <w:r w:rsidR="007F566C">
        <w:t>í</w:t>
      </w:r>
      <w:r>
        <w:t xml:space="preserve"> snahou tedy bylo vytvořit webový portál, kam by data z různých druhů přístrojů používaných pacienty byla automaticky přenášena a zároveň by zde pacient či jeho lékař měl </w:t>
      </w:r>
      <w:r w:rsidRPr="00463C96">
        <w:t xml:space="preserve">možnost data v celistvosti prohlížet </w:t>
      </w:r>
      <w:r>
        <w:t>a analyzovat.</w:t>
      </w:r>
    </w:p>
    <w:p w14:paraId="706C10BB" w14:textId="77777777" w:rsidR="007139D1" w:rsidRPr="007139D1" w:rsidRDefault="000A5546" w:rsidP="007139D1">
      <w:r>
        <w:t xml:space="preserve">Tato diplomová práce </w:t>
      </w:r>
      <w:r w:rsidR="003723B5">
        <w:t xml:space="preserve">se zabývá </w:t>
      </w:r>
      <w:r>
        <w:t>webov</w:t>
      </w:r>
      <w:r w:rsidR="003723B5">
        <w:t>ou</w:t>
      </w:r>
      <w:r>
        <w:t xml:space="preserve"> aplikac</w:t>
      </w:r>
      <w:r w:rsidR="003723B5">
        <w:t>í</w:t>
      </w:r>
      <w:r>
        <w:t xml:space="preserve"> Diani</w:t>
      </w:r>
      <w:r w:rsidR="003723B5">
        <w:t>, která</w:t>
      </w:r>
      <w:r>
        <w:t xml:space="preserve"> umožňuj</w:t>
      </w:r>
      <w:r w:rsidR="003723B5">
        <w:t>e</w:t>
      </w:r>
      <w:r w:rsidRPr="00CC14EC">
        <w:rPr>
          <w:color w:val="00B050"/>
        </w:rPr>
        <w:t xml:space="preserve"> </w:t>
      </w:r>
      <w:r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>
        <w:t>Kromě zobrazení grafů je možné vést i</w:t>
      </w:r>
      <w:r w:rsidR="00577D5E">
        <w:t> </w:t>
      </w:r>
      <w:r>
        <w:t>osobní kartu pacienta s informacemi jako je váha, výška, HbA1c</w:t>
      </w:r>
      <w:r w:rsidR="003723B5">
        <w:t xml:space="preserve"> (glykovaný hemoglobin)</w:t>
      </w:r>
      <w:r w:rsidR="007139D1" w:rsidRPr="007139D1">
        <w:t>, hodnoty sacharidů v jídle, dávky inzulínu, spánek/bdění aj. Do systému lze v libovolném časovém rozmezí manuálně nahrávat i data z kontinuálních monitorů glykémie. Uvedená data jsou přehledně graficky zobrazena na časové ose. Uživatel může také generovat výpis záznamů do přehledné tabulky a</w:t>
      </w:r>
      <w:r w:rsidR="00706F19">
        <w:t> </w:t>
      </w:r>
      <w:r w:rsidR="007139D1" w:rsidRPr="007139D1">
        <w:t>využít jej během konzultace s lékařem.</w:t>
      </w:r>
    </w:p>
    <w:p w14:paraId="7CCADB01" w14:textId="77777777" w:rsidR="007139D1" w:rsidRPr="007139D1" w:rsidRDefault="007139D1" w:rsidP="007139D1">
      <w:r w:rsidRPr="007139D1">
        <w:t>Pomocí řídící logiky v jazyce C# a také JavaScriptu je v současnosti možné data zobrazovat v denním, týdenním a měsíčním náhledu, kde měsíční náhled je obohacen o trend glykémie. Pro další statistické zpracování dat lze data stáhnout ve formátu csv.</w:t>
      </w:r>
    </w:p>
    <w:p w14:paraId="0D40A5FC" w14:textId="77777777" w:rsidR="007139D1" w:rsidRPr="007139D1" w:rsidRDefault="007139D1" w:rsidP="007139D1">
      <w:r w:rsidRPr="007139D1">
        <w:t>Systém Diani je postaven na architektuře ASP.NET MVC s podporou HTML a CSS. Aplikace je dále doplněna o opensource pluginy (jako např. Highcharts, Jquery</w:t>
      </w:r>
      <w:r w:rsidR="00624C5B">
        <w:t>, JavaScript</w:t>
      </w:r>
      <w:r w:rsidRPr="007139D1">
        <w:t xml:space="preserve"> apod.).</w:t>
      </w:r>
    </w:p>
    <w:p w14:paraId="042C6854" w14:textId="77777777" w:rsidR="000A5546" w:rsidRPr="007139D1" w:rsidRDefault="007139D1" w:rsidP="007139D1">
      <w:r w:rsidRPr="007139D1">
        <w:t>Vytvořili jsme funkční webové rozhraní pro přenos, sběr, analýzu a export dat z mobilních zařízení jako je aplikace diabetického deníku pro smartphone, krokoměr, glukometr, kontinuální monitor glykémie, váha a tlakoměr. Webovou aplikaci Diani používají v testovacím módu jak pacienti, tak lékaři.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39B4C604" w14:textId="77777777" w:rsidR="001675EC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2962993" w:history="1">
            <w:r w:rsidR="001675EC" w:rsidRPr="00015740">
              <w:rPr>
                <w:rStyle w:val="Hypertextovodkaz"/>
                <w:noProof/>
              </w:rPr>
              <w:t>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Úvod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_Toc472962993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3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71D5454" w14:textId="77777777" w:rsidR="001675EC" w:rsidRDefault="0075685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4" w:history="1">
            <w:r w:rsidR="001675EC" w:rsidRPr="00015740">
              <w:rPr>
                <w:rStyle w:val="Hypertextovodkaz"/>
                <w:noProof/>
              </w:rPr>
              <w:t>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Přehled současného stavu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_Toc472962994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B39024A" w14:textId="77777777" w:rsidR="001675EC" w:rsidRDefault="0075685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5" w:history="1">
            <w:r w:rsidR="001675EC" w:rsidRPr="00015740">
              <w:rPr>
                <w:rStyle w:val="Hypertextovodkaz"/>
                <w:noProof/>
              </w:rPr>
              <w:t>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Metody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_Toc472962995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0519C0AE" w14:textId="77777777" w:rsidR="001675EC" w:rsidRDefault="00756851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6" w:history="1">
            <w:r w:rsidR="001675EC" w:rsidRPr="00015740">
              <w:rPr>
                <w:rStyle w:val="Hypertextovodkaz"/>
                <w:noProof/>
              </w:rPr>
              <w:t>3.1.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Sběr dat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_Toc472962996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80186FC" w14:textId="77777777" w:rsidR="001675EC" w:rsidRDefault="00756851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7" w:history="1">
            <w:r w:rsidR="001675EC" w:rsidRPr="00015740">
              <w:rPr>
                <w:rStyle w:val="Hypertextovodkaz"/>
                <w:noProof/>
              </w:rPr>
              <w:t>3.2.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Tvorba algoritmů a jejich implementace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_Toc472962997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DA45F17" w14:textId="77777777" w:rsidR="001675EC" w:rsidRDefault="00756851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8" w:history="1">
            <w:r w:rsidR="001675EC" w:rsidRPr="00015740">
              <w:rPr>
                <w:rStyle w:val="Hypertextovodkaz"/>
                <w:noProof/>
              </w:rPr>
              <w:t>3.3.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 xml:space="preserve">Testování a datová analýza 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_Toc472962998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6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5E0E4A0" w14:textId="77777777" w:rsidR="001675EC" w:rsidRDefault="0075685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9" w:history="1">
            <w:r w:rsidR="001675EC" w:rsidRPr="00015740">
              <w:rPr>
                <w:rStyle w:val="Hypertextovodkaz"/>
                <w:noProof/>
              </w:rPr>
              <w:t>4.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Výsledky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_Toc472962999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7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3FAF9DED" w14:textId="77777777" w:rsidR="001675EC" w:rsidRDefault="0075685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0" w:history="1">
            <w:r w:rsidR="001675EC" w:rsidRPr="00015740">
              <w:rPr>
                <w:rStyle w:val="Hypertextovodkaz"/>
                <w:noProof/>
              </w:rPr>
              <w:t>5.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Diskuse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_Toc472963000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F4A51BB" w14:textId="77777777" w:rsidR="001675EC" w:rsidRDefault="0075685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1" w:history="1">
            <w:r w:rsidR="001675EC" w:rsidRPr="00015740">
              <w:rPr>
                <w:rStyle w:val="Hypertextovodkaz"/>
                <w:noProof/>
              </w:rPr>
              <w:t>6.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Závěr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_Toc472963001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12E5B75" w14:textId="77777777" w:rsidR="001675EC" w:rsidRDefault="0075685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2" w:history="1">
            <w:r w:rsidR="001675EC" w:rsidRPr="00015740">
              <w:rPr>
                <w:rStyle w:val="Hypertextovodkaz"/>
                <w:noProof/>
              </w:rPr>
              <w:t>7.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Reference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_Toc472963002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10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aktivity tracker</w:t>
            </w:r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senzor pro měření aktivity a hloubky spánku (např. náramek Fitbit)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23EEC4AF" w:rsidR="00CE0DA4" w:rsidRPr="00B5096B" w:rsidRDefault="00FD57CC" w:rsidP="00F61792">
            <w:pPr>
              <w:tabs>
                <w:tab w:val="left" w:pos="2010"/>
              </w:tabs>
              <w:ind w:firstLine="0"/>
            </w:pPr>
            <w:r>
              <w:t>telemonitor</w:t>
            </w:r>
            <w:r w:rsidR="00F61792">
              <w:t>ingo</w:t>
            </w:r>
            <w:r>
              <w:t>vací systém</w:t>
            </w:r>
          </w:p>
        </w:tc>
        <w:tc>
          <w:tcPr>
            <w:tcW w:w="5954" w:type="dxa"/>
          </w:tcPr>
          <w:p w14:paraId="4CBD4489" w14:textId="66D440A7" w:rsidR="00CE0DA4" w:rsidRPr="00B5096B" w:rsidRDefault="00FD57CC" w:rsidP="00CE0DA4">
            <w:pPr>
              <w:pStyle w:val="Bezmezer"/>
              <w:ind w:firstLine="0"/>
            </w:pPr>
            <w:r>
              <w:t xml:space="preserve">soubor měřících technologií </w:t>
            </w:r>
            <w:r w:rsidR="00F61792">
              <w:t xml:space="preserve">biologických výstupů </w:t>
            </w:r>
            <w:r>
              <w:t>s vizualizační aplikací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14DE6FFE" w:rsidR="00CE0DA4" w:rsidRDefault="00B14148" w:rsidP="00CE0DA4">
            <w:pPr>
              <w:tabs>
                <w:tab w:val="left" w:pos="2552"/>
              </w:tabs>
              <w:ind w:firstLine="0"/>
            </w:pPr>
            <w:r>
              <w:t>selfmonitoring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ASP.NET MVC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>aplikační webový framework (aplikační rámec) implementující návrhový vzor model-pohled-řadič (model-view-cotroller)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77777777" w:rsidR="0038190F" w:rsidRDefault="0038190F" w:rsidP="00CE0DA4">
            <w:pPr>
              <w:tabs>
                <w:tab w:val="left" w:pos="2552"/>
              </w:tabs>
              <w:ind w:firstLine="0"/>
            </w:pPr>
            <w:r>
              <w:t>MS SQL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(Structured Query Language)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HTML</w:t>
            </w:r>
          </w:p>
        </w:tc>
        <w:tc>
          <w:tcPr>
            <w:tcW w:w="5954" w:type="dxa"/>
          </w:tcPr>
          <w:p w14:paraId="5CE6A79D" w14:textId="77777777" w:rsidR="00CE0DA4" w:rsidRPr="00B5096B" w:rsidRDefault="00CE0DA4" w:rsidP="00CE0DA4">
            <w:pPr>
              <w:pStyle w:val="Bezmezer"/>
              <w:ind w:firstLine="0"/>
            </w:pPr>
            <w:r>
              <w:rPr>
                <w:rStyle w:val="st"/>
              </w:rPr>
              <w:t>HyperText Markup Language,</w:t>
            </w:r>
            <w:r>
              <w:t xml:space="preserve"> značkovací jazyk pro tvorbu webových stránek</w:t>
            </w: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CSS</w:t>
            </w:r>
          </w:p>
        </w:tc>
        <w:tc>
          <w:tcPr>
            <w:tcW w:w="5954" w:type="dxa"/>
          </w:tcPr>
          <w:p w14:paraId="361287DA" w14:textId="77777777" w:rsidR="00CE0DA4" w:rsidRPr="00B5096B" w:rsidRDefault="00CE0DA4" w:rsidP="00CE0DA4">
            <w:pPr>
              <w:pStyle w:val="Bezmezer"/>
              <w:ind w:firstLine="0"/>
            </w:pPr>
            <w:r>
              <w:t>kaskádové styly, jazyk pro popis způsobu zobrazení HTML značek</w:t>
            </w: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WHO</w:t>
            </w:r>
          </w:p>
        </w:tc>
        <w:tc>
          <w:tcPr>
            <w:tcW w:w="5954" w:type="dxa"/>
          </w:tcPr>
          <w:p w14:paraId="2358046E" w14:textId="77777777" w:rsidR="00CE0DA4" w:rsidRPr="00B5096B" w:rsidRDefault="00CE0DA4" w:rsidP="00CE0DA4">
            <w:pPr>
              <w:pStyle w:val="Bezmezer"/>
              <w:ind w:firstLine="0"/>
            </w:pPr>
            <w:r>
              <w:t>World Health Organisation, Světová zdravotnická organizace</w:t>
            </w: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MODY</w:t>
            </w:r>
          </w:p>
        </w:tc>
        <w:tc>
          <w:tcPr>
            <w:tcW w:w="5954" w:type="dxa"/>
          </w:tcPr>
          <w:p w14:paraId="11A7EBB6" w14:textId="77777777" w:rsidR="00CE0DA4" w:rsidRDefault="00CE0DA4" w:rsidP="00CE0DA4">
            <w:pPr>
              <w:pStyle w:val="Bezmezer"/>
              <w:ind w:firstLine="0"/>
            </w:pPr>
            <w:r>
              <w:rPr>
                <w:sz w:val="20"/>
                <w:szCs w:val="20"/>
              </w:rPr>
              <w:t>Maturity-Onset Diabetes of the Young, volně přeloženo jako diabetes dospělého typu objevující se u mladých lidí</w:t>
            </w: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NDP</w:t>
            </w:r>
          </w:p>
        </w:tc>
        <w:tc>
          <w:tcPr>
            <w:tcW w:w="5954" w:type="dxa"/>
          </w:tcPr>
          <w:p w14:paraId="5243FE90" w14:textId="77777777" w:rsidR="00CE0DA4" w:rsidRDefault="00CE0DA4" w:rsidP="00CE0DA4">
            <w:pPr>
              <w:pStyle w:val="Bezmezer"/>
              <w:ind w:firstLine="0"/>
            </w:pPr>
            <w:r>
              <w:t>Národní diabetologický program</w:t>
            </w: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CGM</w:t>
            </w:r>
          </w:p>
        </w:tc>
        <w:tc>
          <w:tcPr>
            <w:tcW w:w="5954" w:type="dxa"/>
          </w:tcPr>
          <w:p w14:paraId="34D14BB2" w14:textId="77777777" w:rsidR="00CE0DA4" w:rsidRDefault="00CE0DA4" w:rsidP="00CE0DA4">
            <w:pPr>
              <w:pStyle w:val="Bezmezer"/>
              <w:ind w:firstLine="0"/>
            </w:pPr>
            <w:r>
              <w:t>kontinuální monitor glykémie</w:t>
            </w: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GL</w:t>
            </w:r>
          </w:p>
        </w:tc>
        <w:tc>
          <w:tcPr>
            <w:tcW w:w="5954" w:type="dxa"/>
          </w:tcPr>
          <w:p w14:paraId="78200D1D" w14:textId="77777777" w:rsidR="00CE0DA4" w:rsidRDefault="00CE0DA4" w:rsidP="00CE0DA4">
            <w:pPr>
              <w:pStyle w:val="Bezmezer"/>
              <w:ind w:firstLine="0"/>
            </w:pPr>
            <w:r>
              <w:t>glykemická nálož (glycemic load)</w:t>
            </w: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ID</w:t>
            </w:r>
          </w:p>
        </w:tc>
        <w:tc>
          <w:tcPr>
            <w:tcW w:w="5954" w:type="dxa"/>
          </w:tcPr>
          <w:p w14:paraId="49C9F2CC" w14:textId="77777777" w:rsidR="00CE0DA4" w:rsidRDefault="00CE0DA4" w:rsidP="00CE0DA4">
            <w:pPr>
              <w:pStyle w:val="Bezmezer"/>
              <w:ind w:firstLine="0"/>
            </w:pPr>
            <w:r>
              <w:t>unikátní identifikátor</w:t>
            </w: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pdf</w:t>
            </w:r>
          </w:p>
        </w:tc>
        <w:tc>
          <w:tcPr>
            <w:tcW w:w="5954" w:type="dxa"/>
          </w:tcPr>
          <w:p w14:paraId="46CA07C7" w14:textId="77777777" w:rsidR="00CE0DA4" w:rsidRDefault="00CE0DA4" w:rsidP="00CE0DA4">
            <w:pPr>
              <w:pStyle w:val="Bezmezer"/>
              <w:ind w:firstLine="0"/>
            </w:pPr>
            <w:r>
              <w:t>Přenosný formát dokumentů (Portable document format), formát dokumentu vyvíjený firmou Adobe</w:t>
            </w: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csv</w:t>
            </w:r>
          </w:p>
        </w:tc>
        <w:tc>
          <w:tcPr>
            <w:tcW w:w="5954" w:type="dxa"/>
          </w:tcPr>
          <w:p w14:paraId="5ACC5251" w14:textId="77777777" w:rsidR="00CE0DA4" w:rsidRDefault="00CE0DA4" w:rsidP="00CE0DA4">
            <w:pPr>
              <w:pStyle w:val="Bezmezer"/>
              <w:ind w:firstLine="0"/>
            </w:pPr>
            <w:r>
              <w:t>data oddělená desetinou čárkou (comma separated value), formát dokumentu</w:t>
            </w: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" w:name="_Toc472962404"/>
      <w:bookmarkStart w:id="2" w:name="_Toc472962993"/>
      <w:r>
        <w:lastRenderedPageBreak/>
        <w:t>Úvod</w:t>
      </w:r>
      <w:bookmarkEnd w:id="1"/>
      <w:bookmarkEnd w:id="2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>Zatímco u zdravých jedinců je regulace inzulínu v průběhu zvýšené fyzické aktivity zcela automatická (u aerobního pohybu je to snížení sekrece inzulínu a zvýšení kontraregulačních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ketoacidóze,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r w:rsidR="00DE6164">
        <w:t>měřené v</w:t>
      </w:r>
      <w:r>
        <w:t> 5-ti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77777777" w:rsidR="00CA20AA" w:rsidRDefault="00CA20AA" w:rsidP="00CA20AA"/>
    <w:p w14:paraId="033C86C9" w14:textId="77777777" w:rsidR="00CA20AA" w:rsidRDefault="00CA20AA" w:rsidP="00CA20AA">
      <w:pPr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5"/>
      <w:bookmarkStart w:id="4" w:name="_Toc472962994"/>
      <w:r>
        <w:lastRenderedPageBreak/>
        <w:t>Přehled současného stavu</w:t>
      </w:r>
      <w:bookmarkEnd w:id="3"/>
      <w:bookmarkEnd w:id="4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trackerem,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6"/>
      <w:bookmarkStart w:id="6" w:name="_Toc472962995"/>
      <w:r>
        <w:lastRenderedPageBreak/>
        <w:t>Metody</w:t>
      </w:r>
      <w:bookmarkEnd w:id="5"/>
      <w:bookmarkEnd w:id="6"/>
    </w:p>
    <w:p w14:paraId="0F5CAB42" w14:textId="5AF68CAA" w:rsidR="00CA20AA" w:rsidRPr="007F3022" w:rsidRDefault="00CA20AA" w:rsidP="00CA20AA">
      <w:r>
        <w:t>Tři následující fáze popisují proces, kterým bylo dosaženo výše popisovaných cílů. Jedná se o sběr dat, díky němuž bylo možné definovat podmínky pro nalezení požadovaných situací</w:t>
      </w:r>
      <w:r w:rsidR="00BD3A14">
        <w:t>.</w:t>
      </w:r>
      <w:r>
        <w:t xml:space="preserve"> </w:t>
      </w:r>
      <w:r w:rsidR="00BD3A14">
        <w:t xml:space="preserve">Návrh a implementace vyhledávacích </w:t>
      </w:r>
      <w:r>
        <w:t>algoritmů a jejich</w:t>
      </w:r>
      <w:r w:rsidR="004C776D">
        <w:t xml:space="preserve"> následná</w:t>
      </w:r>
      <w:r>
        <w:t xml:space="preserve"> implementace</w:t>
      </w:r>
      <w:r w:rsidR="004C776D">
        <w:t xml:space="preserve"> vizualizace</w:t>
      </w:r>
      <w:r>
        <w:t xml:space="preserve"> do </w:t>
      </w:r>
      <w:r w:rsidR="004C776D">
        <w:t xml:space="preserve">webové aplikace Diani. Posledním bodem procesu je </w:t>
      </w:r>
      <w:r>
        <w:t>testování vytvořených algoritmů na nasbíraných datech a následná analýza</w:t>
      </w:r>
      <w:r w:rsidR="004C776D">
        <w:t xml:space="preserve"> odborníkem (Ing. Holubovou)</w:t>
      </w:r>
      <w:r>
        <w:t xml:space="preserve"> pro vyhodnocení kvality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7" w:name="_Toc472962407"/>
      <w:bookmarkStart w:id="8" w:name="_Toc472962996"/>
      <w:r w:rsidRPr="00B528CA">
        <w:t>Sběr dat</w:t>
      </w:r>
      <w:bookmarkEnd w:id="7"/>
      <w:bookmarkEnd w:id="8"/>
    </w:p>
    <w:p w14:paraId="5B2BB868" w14:textId="0B81747C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>mi pro selfmonitoring.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diabetický deník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glykémie v 5-ti minutových intervalech.</w:t>
      </w:r>
    </w:p>
    <w:p w14:paraId="374E599B" w14:textId="79568CE3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 xml:space="preserve">. Tyto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8"/>
      <w:bookmarkStart w:id="10" w:name="_Toc472962997"/>
      <w:commentRangeStart w:id="11"/>
      <w:r>
        <w:t>Tvorba algoritmů a jejich implementace</w:t>
      </w:r>
      <w:commentRangeEnd w:id="11"/>
      <w:r>
        <w:rPr>
          <w:rStyle w:val="Odkaznakoment"/>
          <w:rFonts w:eastAsiaTheme="minorHAnsi" w:cstheme="minorBidi"/>
        </w:rPr>
        <w:commentReference w:id="11"/>
      </w:r>
      <w:bookmarkEnd w:id="9"/>
      <w:bookmarkEnd w:id="10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>Pro hledání segmentů obsahujících informace o zvýšené fyzické aktivitě spolu s poklesem glykémie byly vymezeny 2 monitorované veličiny, a to glykémie měřen</w:t>
      </w:r>
      <w:r w:rsidR="00406233">
        <w:t>ou</w:t>
      </w:r>
      <w:r>
        <w:t xml:space="preserve"> v 5-ti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8939B5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9" o:title="obr1b"/>
          </v:shape>
        </w:pict>
      </w:r>
    </w:p>
    <w:p w14:paraId="2A27A619" w14:textId="399C12F9" w:rsidR="00634F8D" w:rsidRDefault="00634F8D" w:rsidP="00634F8D">
      <w:pPr>
        <w:pStyle w:val="Titulek"/>
      </w:pPr>
      <w:bookmarkStart w:id="12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t>1</w:t>
      </w:r>
      <w:r>
        <w:fldChar w:fldCharType="end"/>
      </w:r>
      <w:bookmarkEnd w:id="12"/>
      <w:r>
        <w:t xml:space="preserve"> Grafické znázornění naměřených dat (aplikace Diani) s popisky od Ing. Holubové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77777777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r w:rsidR="00C112AE">
        <w:t>selfmonitoringu</w:t>
      </w:r>
      <w:r w:rsidR="00E81644">
        <w:t>,</w:t>
      </w:r>
      <w:r w:rsidR="00C112AE">
        <w:t xml:space="preserve"> byla řídící měřenou veličinou určena glykémie, protože tyto data jsou sbírána jen v krátkých časových úsecích (1-3 týdny)</w:t>
      </w:r>
      <w:r w:rsidR="00BA3056">
        <w:t xml:space="preserve"> </w:t>
      </w:r>
      <w:r w:rsidR="00C112AE">
        <w:t>z důvodu vysoké ceny senzoru.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4BAC069E" w:rsidR="00910510" w:rsidRDefault="008939B5" w:rsidP="00910510">
      <w:r>
        <w:lastRenderedPageBreak/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 xml:space="preserve">m glykémie jsou data rozdělena do segmentů </w:t>
      </w:r>
      <w:r w:rsidR="00185A6E">
        <w:t xml:space="preserve">resp. do seznamu </w:t>
      </w:r>
      <w:r w:rsidR="00721CE8">
        <w:t xml:space="preserve">obsahující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r w:rsidR="00185A6E" w:rsidRPr="00185A6E">
        <w:rPr>
          <w:i/>
        </w:rPr>
        <w:t>DateTimeOffset</w:t>
      </w:r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glykémie.</w:t>
      </w:r>
    </w:p>
    <w:p w14:paraId="2477D854" w14:textId="77777777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byli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</w:t>
      </w:r>
      <w:r w:rsidR="00F527D3">
        <w:t>fyzické</w:t>
      </w:r>
      <w:r w:rsidR="00FD0F25">
        <w:t xml:space="preserve"> aktivity je </w:t>
      </w:r>
      <w:r w:rsidR="00F527D3">
        <w:t>dále testován, zda vyhovuje zadaným kritériím. V datech se zpočátku zobrazovali kratší segmenty</w:t>
      </w:r>
      <w:r w:rsidR="001F56CB">
        <w:t>,</w:t>
      </w:r>
      <w:r w:rsidR="00F527D3">
        <w:t xml:space="preserve"> než byli odborníkem určeny</w:t>
      </w:r>
      <w:r w:rsidR="001F56CB">
        <w:t>.</w:t>
      </w:r>
    </w:p>
    <w:p w14:paraId="2186AC40" w14:textId="1DA2BC4E" w:rsidR="00351BF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zvýšená aktivita dva vzorky nazpět (10 min)</w:t>
      </w:r>
      <w:r w:rsidR="00123CE1">
        <w:t xml:space="preserve">. </w:t>
      </w:r>
      <w:r w:rsidR="00EB0D6A">
        <w:t>Tato konstanta byla určena na základě pomalé zpětné vazby glukagonu při</w:t>
      </w:r>
      <w:r w:rsidR="00E20E30">
        <w:t xml:space="preserve"> snížení (ustání)</w:t>
      </w:r>
      <w:r w:rsidR="00A308E0">
        <w:t xml:space="preserve"> fyzické aktivity</w:t>
      </w:r>
      <w:r w:rsidR="00EB0D6A">
        <w:t>.</w:t>
      </w:r>
      <w:r w:rsidR="00F0482B">
        <w:t xml:space="preserve"> Data jsou v této části analýzy ukládána do struktury, která nese informaci o počátku a konci segmentu a počtu kroků (vykonané aktivy) v daném segmentu.</w:t>
      </w:r>
    </w:p>
    <w:p w14:paraId="26BF4ABC" w14:textId="067620FC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splňují podmínky kritérií je daný segment zachován a u je uložena zde navíc informace o hodnotě poklesu glykémie.</w:t>
      </w:r>
    </w:p>
    <w:p w14:paraId="4E755621" w14:textId="7DCA8E1F" w:rsidR="00DF279E" w:rsidRPr="00351BF0" w:rsidRDefault="00DF279E" w:rsidP="00351BF0">
      <w:pPr>
        <w:pStyle w:val="Bezmezer"/>
      </w:pPr>
      <w:r>
        <w:t xml:space="preserve">Výsledná data jsou následně zobrazena v tabulkovém seznamu s odkazem </w:t>
      </w:r>
      <w:r w:rsidR="00141BD3">
        <w:t>přehledový graf v aplikaci Diani.</w:t>
      </w:r>
      <w:bookmarkStart w:id="13" w:name="_GoBack"/>
      <w:bookmarkEnd w:id="13"/>
      <w:r>
        <w:t xml:space="preserve"> </w:t>
      </w:r>
    </w:p>
    <w:p w14:paraId="5E8328DD" w14:textId="77777777" w:rsidR="005B458C" w:rsidRPr="005B458C" w:rsidRDefault="005B458C" w:rsidP="005B458C">
      <w:pPr>
        <w:pStyle w:val="Bezmezer"/>
      </w:pP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4" w:name="_Toc472962409"/>
      <w:bookmarkStart w:id="15" w:name="_Toc472962998"/>
      <w:commentRangeStart w:id="16"/>
      <w:r>
        <w:t xml:space="preserve">Testování a datová analýza </w:t>
      </w:r>
      <w:commentRangeEnd w:id="16"/>
      <w:r>
        <w:rPr>
          <w:rStyle w:val="Odkaznakoment"/>
          <w:rFonts w:eastAsiaTheme="minorHAnsi" w:cstheme="minorBidi"/>
        </w:rPr>
        <w:commentReference w:id="16"/>
      </w:r>
      <w:bookmarkEnd w:id="14"/>
      <w:bookmarkEnd w:id="15"/>
    </w:p>
    <w:p w14:paraId="3AD8C39F" w14:textId="77777777" w:rsidR="00CA20AA" w:rsidRDefault="00CA20AA" w:rsidP="00CA20AA">
      <w:r>
        <w:t>V rámci testování vytvořených algoritmů bylo využito dat nasbíraných od 3 pacientů s diabetem 1. typu, kteří po čas nošení kontinuálního monitoru glykémie používali současně i krokoměr.</w:t>
      </w:r>
    </w:p>
    <w:p w14:paraId="28D56E0D" w14:textId="77777777" w:rsidR="00CA20AA" w:rsidRDefault="00CA20AA" w:rsidP="00CA20AA">
      <w:r>
        <w:t>Bylo provedeno jednak individuální nastavení různých rozmezí intenzity fyzické aktivity, poklesu glykémie a doby trvání segmentu pro každého pacienta zvlášť, jednak využito stejného nastavení pro všechny tři pacienty.</w:t>
      </w:r>
    </w:p>
    <w:p w14:paraId="1EEBA08C" w14:textId="013AD7FB" w:rsidR="00CA20AA" w:rsidRDefault="00CA20AA" w:rsidP="00CA20AA">
      <w:r>
        <w:t xml:space="preserve">Pro kontrolu, zda je algoritmus schopen vyhledat každý pokles glykémie v období zvýšené fyzické aktivity, bylo vybráno 5 dní od každého ze 3 pacientů, v nich bylo okometricky posouzeno, zda algoritmus označil všechna relevantní místa dle nastavených podmínek. Pro příklad můžeme posoudit </w:t>
      </w:r>
      <w:r>
        <w:lastRenderedPageBreak/>
        <w:t>poklesy na Obr. 2, kde jsou vidět 2 signifikantní poklesy glykémie (modrá křivka v horní části obrázku) v obdobích zvýšené fyzické aktivity (modrý sloupcový graf).</w:t>
      </w:r>
    </w:p>
    <w:p w14:paraId="507ADAB3" w14:textId="2C872640" w:rsidR="00CA20AA" w:rsidRDefault="00CA20AA" w:rsidP="00CA20AA">
      <w:pPr>
        <w:jc w:val="center"/>
      </w:pPr>
      <w:r>
        <w:t>Obr. 2: Příklad jednodenních záznamů a v nich vyznačené poklesy spolu se zvýšenou fyzickou aktivitou.</w:t>
      </w:r>
    </w:p>
    <w:p w14:paraId="1424D594" w14:textId="0AB7058C" w:rsidR="00CA20AA" w:rsidRDefault="00CA20AA" w:rsidP="00CA20AA">
      <w:r>
        <w:t>Nastavením maximální šíře rozmezí pro počet kroků za 5 minut, rozdílu počáteční a koncové glykémie a doby trvání poklesu by mělo dojít k nalezení všech relevantních úseků, jak znázorňuje Obr. 3.</w:t>
      </w:r>
    </w:p>
    <w:p w14:paraId="64224C5B" w14:textId="07066E5D" w:rsidR="00CA20AA" w:rsidRDefault="00CA20AA" w:rsidP="00CA20AA">
      <w:pPr>
        <w:jc w:val="center"/>
      </w:pPr>
      <w:r>
        <w:t>Obr. 3: Segmenty nalezené algoritmem při nastavení maximální šíře vstupních parametrů.</w:t>
      </w:r>
    </w:p>
    <w:p w14:paraId="12D824BD" w14:textId="77777777" w:rsidR="00CA20AA" w:rsidRDefault="00CA20AA" w:rsidP="00CA20AA">
      <w:pPr>
        <w:jc w:val="center"/>
      </w:pPr>
    </w:p>
    <w:p w14:paraId="09062CC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7" w:name="_Toc472962410"/>
      <w:bookmarkStart w:id="18" w:name="_Toc472962999"/>
      <w:commentRangeStart w:id="19"/>
      <w:r>
        <w:t>Výsledky</w:t>
      </w:r>
      <w:commentRangeEnd w:id="19"/>
      <w:r>
        <w:rPr>
          <w:rStyle w:val="Odkaznakoment"/>
          <w:rFonts w:eastAsiaTheme="minorHAnsi" w:cstheme="minorBidi"/>
        </w:rPr>
        <w:commentReference w:id="19"/>
      </w:r>
      <w:bookmarkEnd w:id="17"/>
      <w:bookmarkEnd w:id="1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20AA" w14:paraId="5E84E821" w14:textId="77777777" w:rsidTr="00F61285">
        <w:tc>
          <w:tcPr>
            <w:tcW w:w="9350" w:type="dxa"/>
            <w:gridSpan w:val="5"/>
            <w:vAlign w:val="center"/>
          </w:tcPr>
          <w:p w14:paraId="4CF1422F" w14:textId="77777777" w:rsidR="00CA20AA" w:rsidRDefault="00CA20AA" w:rsidP="00F61285">
            <w:pPr>
              <w:jc w:val="center"/>
            </w:pPr>
            <w:commentRangeStart w:id="20"/>
            <w:r>
              <w:t>Pacient č. 1</w:t>
            </w:r>
            <w:commentRangeEnd w:id="20"/>
            <w:r>
              <w:rPr>
                <w:rStyle w:val="Odkaznakoment"/>
              </w:rPr>
              <w:commentReference w:id="20"/>
            </w:r>
          </w:p>
        </w:tc>
      </w:tr>
      <w:tr w:rsidR="00CA20AA" w14:paraId="5999BE93" w14:textId="77777777" w:rsidTr="00F61285">
        <w:tc>
          <w:tcPr>
            <w:tcW w:w="1870" w:type="dxa"/>
            <w:vAlign w:val="center"/>
          </w:tcPr>
          <w:p w14:paraId="2BCA18C6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03253528" w14:textId="77777777" w:rsidR="00CA20AA" w:rsidRDefault="00CA20AA" w:rsidP="00F61285">
            <w:pPr>
              <w:jc w:val="center"/>
            </w:pPr>
            <w:r>
              <w:t>Počet existujících poklesů</w:t>
            </w:r>
          </w:p>
        </w:tc>
        <w:tc>
          <w:tcPr>
            <w:tcW w:w="1870" w:type="dxa"/>
            <w:vAlign w:val="center"/>
          </w:tcPr>
          <w:p w14:paraId="4574EF1C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3205EC20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28406822" w14:textId="77777777" w:rsidR="00CA20AA" w:rsidRDefault="00CA20AA" w:rsidP="00F61285">
            <w:pPr>
              <w:jc w:val="center"/>
            </w:pPr>
          </w:p>
          <w:p w14:paraId="49E7B864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46F5C45" w14:textId="77777777" w:rsidTr="00F61285">
        <w:tc>
          <w:tcPr>
            <w:tcW w:w="1870" w:type="dxa"/>
            <w:vAlign w:val="center"/>
          </w:tcPr>
          <w:p w14:paraId="7A30FCF8" w14:textId="77777777" w:rsidR="00CA20AA" w:rsidRDefault="00CA20AA" w:rsidP="00F61285">
            <w:pPr>
              <w:jc w:val="center"/>
            </w:pPr>
            <w:r>
              <w:t>12.7.2016</w:t>
            </w:r>
          </w:p>
        </w:tc>
        <w:tc>
          <w:tcPr>
            <w:tcW w:w="1870" w:type="dxa"/>
            <w:vAlign w:val="center"/>
          </w:tcPr>
          <w:p w14:paraId="4465A1B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F8D6D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570A9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83F0352" w14:textId="77777777" w:rsidR="00CA20AA" w:rsidRDefault="00CA20AA" w:rsidP="00F61285">
            <w:pPr>
              <w:jc w:val="center"/>
            </w:pPr>
          </w:p>
        </w:tc>
      </w:tr>
      <w:tr w:rsidR="00CA20AA" w14:paraId="6B5C9751" w14:textId="77777777" w:rsidTr="00F61285">
        <w:tc>
          <w:tcPr>
            <w:tcW w:w="1870" w:type="dxa"/>
            <w:vAlign w:val="center"/>
          </w:tcPr>
          <w:p w14:paraId="4F33AA18" w14:textId="77777777" w:rsidR="00CA20AA" w:rsidRDefault="00CA20AA" w:rsidP="00F61285">
            <w:pPr>
              <w:jc w:val="center"/>
            </w:pPr>
            <w:r>
              <w:t>13.7.2016</w:t>
            </w:r>
          </w:p>
        </w:tc>
        <w:tc>
          <w:tcPr>
            <w:tcW w:w="1870" w:type="dxa"/>
            <w:vAlign w:val="center"/>
          </w:tcPr>
          <w:p w14:paraId="0C112B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B2D3C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73AFD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D2CD10B" w14:textId="77777777" w:rsidR="00CA20AA" w:rsidRDefault="00CA20AA" w:rsidP="00F61285">
            <w:pPr>
              <w:jc w:val="center"/>
            </w:pPr>
          </w:p>
        </w:tc>
      </w:tr>
      <w:tr w:rsidR="00CA20AA" w14:paraId="626551AF" w14:textId="77777777" w:rsidTr="00F61285">
        <w:tc>
          <w:tcPr>
            <w:tcW w:w="1870" w:type="dxa"/>
            <w:vAlign w:val="center"/>
          </w:tcPr>
          <w:p w14:paraId="5A25F63C" w14:textId="77777777" w:rsidR="00CA20AA" w:rsidRDefault="00CA20AA" w:rsidP="00F61285">
            <w:pPr>
              <w:jc w:val="center"/>
            </w:pPr>
            <w:r>
              <w:t>14.7.2016</w:t>
            </w:r>
          </w:p>
        </w:tc>
        <w:tc>
          <w:tcPr>
            <w:tcW w:w="1870" w:type="dxa"/>
            <w:vAlign w:val="center"/>
          </w:tcPr>
          <w:p w14:paraId="7D6446B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AF9E26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6F501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C5FCDC1" w14:textId="77777777" w:rsidR="00CA20AA" w:rsidRDefault="00CA20AA" w:rsidP="00F61285">
            <w:pPr>
              <w:jc w:val="center"/>
            </w:pPr>
          </w:p>
        </w:tc>
      </w:tr>
      <w:tr w:rsidR="00CA20AA" w14:paraId="61E414B0" w14:textId="77777777" w:rsidTr="00F61285">
        <w:tc>
          <w:tcPr>
            <w:tcW w:w="1870" w:type="dxa"/>
            <w:vAlign w:val="center"/>
          </w:tcPr>
          <w:p w14:paraId="63FB87FB" w14:textId="77777777" w:rsidR="00CA20AA" w:rsidRDefault="00CA20AA" w:rsidP="00F61285">
            <w:pPr>
              <w:jc w:val="center"/>
            </w:pPr>
            <w:r>
              <w:t>15.7.2016</w:t>
            </w:r>
          </w:p>
        </w:tc>
        <w:tc>
          <w:tcPr>
            <w:tcW w:w="1870" w:type="dxa"/>
            <w:vAlign w:val="center"/>
          </w:tcPr>
          <w:p w14:paraId="439C87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6F8690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2E3322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107C381" w14:textId="77777777" w:rsidR="00CA20AA" w:rsidRDefault="00CA20AA" w:rsidP="00F61285">
            <w:pPr>
              <w:jc w:val="center"/>
            </w:pPr>
          </w:p>
        </w:tc>
      </w:tr>
      <w:tr w:rsidR="00CA20AA" w14:paraId="0E73F5B8" w14:textId="77777777" w:rsidTr="00F61285">
        <w:tc>
          <w:tcPr>
            <w:tcW w:w="1870" w:type="dxa"/>
            <w:vAlign w:val="center"/>
          </w:tcPr>
          <w:p w14:paraId="05FA8233" w14:textId="77777777" w:rsidR="00CA20AA" w:rsidRDefault="00CA20AA" w:rsidP="00F61285">
            <w:pPr>
              <w:jc w:val="center"/>
            </w:pPr>
            <w:r>
              <w:t>16.7.2016</w:t>
            </w:r>
          </w:p>
        </w:tc>
        <w:tc>
          <w:tcPr>
            <w:tcW w:w="1870" w:type="dxa"/>
            <w:vAlign w:val="center"/>
          </w:tcPr>
          <w:p w14:paraId="7661A55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B10A0A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F0A47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5E1B1F0" w14:textId="77777777" w:rsidR="00CA20AA" w:rsidRDefault="00CA20AA" w:rsidP="00F61285">
            <w:pPr>
              <w:jc w:val="center"/>
            </w:pPr>
          </w:p>
        </w:tc>
      </w:tr>
      <w:tr w:rsidR="00CA20AA" w14:paraId="3369C232" w14:textId="77777777" w:rsidTr="00F61285">
        <w:tc>
          <w:tcPr>
            <w:tcW w:w="9350" w:type="dxa"/>
            <w:gridSpan w:val="5"/>
            <w:vAlign w:val="center"/>
          </w:tcPr>
          <w:p w14:paraId="11A649CC" w14:textId="77777777" w:rsidR="00CA20AA" w:rsidRDefault="00CA20AA" w:rsidP="00F61285">
            <w:pPr>
              <w:jc w:val="center"/>
            </w:pPr>
            <w:commentRangeStart w:id="21"/>
            <w:r>
              <w:t>Pacient č. 2</w:t>
            </w:r>
            <w:commentRangeEnd w:id="21"/>
            <w:r>
              <w:rPr>
                <w:rStyle w:val="Odkaznakoment"/>
              </w:rPr>
              <w:commentReference w:id="21"/>
            </w:r>
          </w:p>
        </w:tc>
      </w:tr>
      <w:tr w:rsidR="00CA20AA" w14:paraId="17E7EFE0" w14:textId="77777777" w:rsidTr="00F61285">
        <w:tc>
          <w:tcPr>
            <w:tcW w:w="1870" w:type="dxa"/>
            <w:vAlign w:val="center"/>
          </w:tcPr>
          <w:p w14:paraId="7B4BBCA5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239106E5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0DC249E6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7199B3B3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308FCE3E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BE0D593" w14:textId="77777777" w:rsidTr="00F61285">
        <w:tc>
          <w:tcPr>
            <w:tcW w:w="1870" w:type="dxa"/>
            <w:vAlign w:val="center"/>
          </w:tcPr>
          <w:p w14:paraId="37EA2590" w14:textId="77777777" w:rsidR="00CA20AA" w:rsidRDefault="00CA20AA" w:rsidP="00F61285">
            <w:pPr>
              <w:jc w:val="center"/>
            </w:pPr>
            <w:r>
              <w:t>11.8.2015</w:t>
            </w:r>
          </w:p>
        </w:tc>
        <w:tc>
          <w:tcPr>
            <w:tcW w:w="1870" w:type="dxa"/>
            <w:vAlign w:val="center"/>
          </w:tcPr>
          <w:p w14:paraId="2CAFE03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238EB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C9D57F8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B447247" w14:textId="77777777" w:rsidR="00CA20AA" w:rsidRDefault="00CA20AA" w:rsidP="00F61285">
            <w:pPr>
              <w:jc w:val="center"/>
            </w:pPr>
          </w:p>
        </w:tc>
      </w:tr>
      <w:tr w:rsidR="00CA20AA" w14:paraId="719E61D7" w14:textId="77777777" w:rsidTr="00F61285">
        <w:tc>
          <w:tcPr>
            <w:tcW w:w="1870" w:type="dxa"/>
            <w:vAlign w:val="center"/>
          </w:tcPr>
          <w:p w14:paraId="5B6E42B1" w14:textId="77777777" w:rsidR="00CA20AA" w:rsidRDefault="00CA20AA" w:rsidP="00F61285">
            <w:pPr>
              <w:jc w:val="center"/>
            </w:pPr>
            <w:r w:rsidRPr="002079D4">
              <w:t>1</w:t>
            </w:r>
            <w:r>
              <w:t>2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3001556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E36D0E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7F8D8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0846188" w14:textId="77777777" w:rsidR="00CA20AA" w:rsidRDefault="00CA20AA" w:rsidP="00F61285">
            <w:pPr>
              <w:jc w:val="center"/>
            </w:pPr>
          </w:p>
        </w:tc>
      </w:tr>
      <w:tr w:rsidR="00CA20AA" w14:paraId="74E0EE68" w14:textId="77777777" w:rsidTr="00F61285">
        <w:tc>
          <w:tcPr>
            <w:tcW w:w="1870" w:type="dxa"/>
            <w:vAlign w:val="center"/>
          </w:tcPr>
          <w:p w14:paraId="641C613A" w14:textId="77777777" w:rsidR="00CA20AA" w:rsidRDefault="00CA20AA" w:rsidP="00F61285">
            <w:pPr>
              <w:jc w:val="center"/>
            </w:pPr>
            <w:r>
              <w:t>13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2FCAD7A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3BFAC2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B3C64D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6F5F5BC" w14:textId="77777777" w:rsidR="00CA20AA" w:rsidRDefault="00CA20AA" w:rsidP="00F61285">
            <w:pPr>
              <w:jc w:val="center"/>
            </w:pPr>
          </w:p>
        </w:tc>
      </w:tr>
      <w:tr w:rsidR="00CA20AA" w14:paraId="5F54C7E5" w14:textId="77777777" w:rsidTr="00F61285">
        <w:tc>
          <w:tcPr>
            <w:tcW w:w="1870" w:type="dxa"/>
            <w:vAlign w:val="center"/>
          </w:tcPr>
          <w:p w14:paraId="74270610" w14:textId="77777777" w:rsidR="00CA20AA" w:rsidRDefault="00CA20AA" w:rsidP="00F61285">
            <w:pPr>
              <w:jc w:val="center"/>
            </w:pPr>
            <w:r>
              <w:t>14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18207E7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19F547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877776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2B6F2D" w14:textId="77777777" w:rsidR="00CA20AA" w:rsidRDefault="00CA20AA" w:rsidP="00F61285">
            <w:pPr>
              <w:jc w:val="center"/>
            </w:pPr>
          </w:p>
        </w:tc>
      </w:tr>
      <w:tr w:rsidR="00CA20AA" w14:paraId="76F77741" w14:textId="77777777" w:rsidTr="00F61285">
        <w:trPr>
          <w:trHeight w:val="217"/>
        </w:trPr>
        <w:tc>
          <w:tcPr>
            <w:tcW w:w="1870" w:type="dxa"/>
            <w:vAlign w:val="center"/>
          </w:tcPr>
          <w:p w14:paraId="52857F05" w14:textId="77777777" w:rsidR="00CA20AA" w:rsidRDefault="00CA20AA" w:rsidP="00F61285">
            <w:pPr>
              <w:jc w:val="center"/>
            </w:pPr>
            <w:r>
              <w:t>15</w:t>
            </w:r>
            <w:r w:rsidRPr="002079D4">
              <w:t>.8.2015</w:t>
            </w:r>
          </w:p>
        </w:tc>
        <w:tc>
          <w:tcPr>
            <w:tcW w:w="1870" w:type="dxa"/>
            <w:vAlign w:val="center"/>
          </w:tcPr>
          <w:p w14:paraId="6666D30F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1BBC40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B5C621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2BD782" w14:textId="77777777" w:rsidR="00CA20AA" w:rsidRDefault="00CA20AA" w:rsidP="00F61285">
            <w:pPr>
              <w:jc w:val="center"/>
            </w:pPr>
          </w:p>
        </w:tc>
      </w:tr>
      <w:tr w:rsidR="00CA20AA" w14:paraId="37EECCE0" w14:textId="77777777" w:rsidTr="00F61285">
        <w:tc>
          <w:tcPr>
            <w:tcW w:w="9350" w:type="dxa"/>
            <w:gridSpan w:val="5"/>
            <w:vAlign w:val="center"/>
          </w:tcPr>
          <w:p w14:paraId="0EA70170" w14:textId="77777777" w:rsidR="00CA20AA" w:rsidRDefault="00CA20AA" w:rsidP="00F61285">
            <w:pPr>
              <w:jc w:val="center"/>
            </w:pPr>
            <w:commentRangeStart w:id="22"/>
            <w:r>
              <w:t>Pacient č. 3</w:t>
            </w:r>
            <w:commentRangeEnd w:id="22"/>
            <w:r>
              <w:rPr>
                <w:rStyle w:val="Odkaznakoment"/>
              </w:rPr>
              <w:commentReference w:id="22"/>
            </w:r>
          </w:p>
        </w:tc>
      </w:tr>
      <w:tr w:rsidR="00CA20AA" w14:paraId="241F4405" w14:textId="77777777" w:rsidTr="00F61285">
        <w:tc>
          <w:tcPr>
            <w:tcW w:w="1870" w:type="dxa"/>
            <w:vAlign w:val="center"/>
          </w:tcPr>
          <w:p w14:paraId="5F368723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49EB3AC8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603AE82A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4EE98779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6FFEFC3B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3FB8B4E4" w14:textId="77777777" w:rsidTr="00F61285">
        <w:tc>
          <w:tcPr>
            <w:tcW w:w="1870" w:type="dxa"/>
            <w:vAlign w:val="center"/>
          </w:tcPr>
          <w:p w14:paraId="5E812C89" w14:textId="77777777" w:rsidR="00CA20AA" w:rsidRDefault="00CA20AA" w:rsidP="00F61285">
            <w:pPr>
              <w:jc w:val="center"/>
            </w:pPr>
            <w:r>
              <w:t>22.8.2015</w:t>
            </w:r>
          </w:p>
        </w:tc>
        <w:tc>
          <w:tcPr>
            <w:tcW w:w="1870" w:type="dxa"/>
            <w:vAlign w:val="center"/>
          </w:tcPr>
          <w:p w14:paraId="1C9670D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74BA1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314864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56F73C3" w14:textId="77777777" w:rsidR="00CA20AA" w:rsidRDefault="00CA20AA" w:rsidP="00F61285">
            <w:pPr>
              <w:jc w:val="center"/>
            </w:pPr>
          </w:p>
        </w:tc>
      </w:tr>
      <w:tr w:rsidR="00CA20AA" w14:paraId="44571E66" w14:textId="77777777" w:rsidTr="00F61285">
        <w:tc>
          <w:tcPr>
            <w:tcW w:w="1870" w:type="dxa"/>
            <w:vAlign w:val="center"/>
          </w:tcPr>
          <w:p w14:paraId="2C005962" w14:textId="77777777" w:rsidR="00CA20AA" w:rsidRDefault="00CA20AA" w:rsidP="00F61285">
            <w:pPr>
              <w:jc w:val="center"/>
            </w:pPr>
            <w:r w:rsidRPr="00C33CDC">
              <w:t>2</w:t>
            </w:r>
            <w:r>
              <w:t>3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2471D42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DE5987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15F59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17AF007" w14:textId="77777777" w:rsidR="00CA20AA" w:rsidRDefault="00CA20AA" w:rsidP="00F61285">
            <w:pPr>
              <w:jc w:val="center"/>
            </w:pPr>
          </w:p>
        </w:tc>
      </w:tr>
      <w:tr w:rsidR="00CA20AA" w14:paraId="3360923C" w14:textId="77777777" w:rsidTr="00F61285">
        <w:tc>
          <w:tcPr>
            <w:tcW w:w="1870" w:type="dxa"/>
            <w:vAlign w:val="center"/>
          </w:tcPr>
          <w:p w14:paraId="5D36116F" w14:textId="77777777" w:rsidR="00CA20AA" w:rsidRDefault="00CA20AA" w:rsidP="00F61285">
            <w:pPr>
              <w:jc w:val="center"/>
            </w:pPr>
            <w:r>
              <w:t>24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7E47BC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108C13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E90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1C87C97" w14:textId="77777777" w:rsidR="00CA20AA" w:rsidRDefault="00CA20AA" w:rsidP="00F61285">
            <w:pPr>
              <w:jc w:val="center"/>
            </w:pPr>
          </w:p>
        </w:tc>
      </w:tr>
      <w:tr w:rsidR="00CA20AA" w14:paraId="430CAA52" w14:textId="77777777" w:rsidTr="00F61285">
        <w:tc>
          <w:tcPr>
            <w:tcW w:w="1870" w:type="dxa"/>
            <w:vAlign w:val="center"/>
          </w:tcPr>
          <w:p w14:paraId="1AD6D87F" w14:textId="77777777" w:rsidR="00CA20AA" w:rsidRDefault="00CA20AA" w:rsidP="00F61285">
            <w:pPr>
              <w:jc w:val="center"/>
            </w:pPr>
            <w:r>
              <w:t>25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3F3C4BA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72F96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7A1C30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3C476C2" w14:textId="77777777" w:rsidR="00CA20AA" w:rsidRDefault="00CA20AA" w:rsidP="00F61285">
            <w:pPr>
              <w:jc w:val="center"/>
            </w:pPr>
          </w:p>
        </w:tc>
      </w:tr>
      <w:tr w:rsidR="00CA20AA" w14:paraId="78ED1846" w14:textId="77777777" w:rsidTr="00F61285">
        <w:tc>
          <w:tcPr>
            <w:tcW w:w="1870" w:type="dxa"/>
            <w:vAlign w:val="center"/>
          </w:tcPr>
          <w:p w14:paraId="57EEEE52" w14:textId="77777777" w:rsidR="00CA20AA" w:rsidRDefault="00CA20AA" w:rsidP="00F61285">
            <w:pPr>
              <w:jc w:val="center"/>
            </w:pPr>
            <w:r>
              <w:t>26</w:t>
            </w:r>
            <w:r w:rsidRPr="00C33CDC">
              <w:t>.8.2015</w:t>
            </w:r>
          </w:p>
        </w:tc>
        <w:tc>
          <w:tcPr>
            <w:tcW w:w="1870" w:type="dxa"/>
            <w:vAlign w:val="center"/>
          </w:tcPr>
          <w:p w14:paraId="0439942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F5B09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F84D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64324F2" w14:textId="77777777" w:rsidR="00CA20AA" w:rsidRDefault="00CA20AA" w:rsidP="00F61285">
            <w:pPr>
              <w:jc w:val="center"/>
            </w:pPr>
          </w:p>
        </w:tc>
      </w:tr>
    </w:tbl>
    <w:p w14:paraId="3AC936C2" w14:textId="77777777" w:rsidR="00CA20AA" w:rsidRPr="008427F5" w:rsidRDefault="00CA20AA" w:rsidP="00CA20AA"/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3" w:name="_Toc472962411"/>
      <w:bookmarkStart w:id="24" w:name="_Toc472963000"/>
      <w:commentRangeStart w:id="25"/>
      <w:r>
        <w:lastRenderedPageBreak/>
        <w:t>Diskuse</w:t>
      </w:r>
      <w:commentRangeEnd w:id="25"/>
      <w:r>
        <w:rPr>
          <w:rStyle w:val="Odkaznakoment"/>
          <w:rFonts w:eastAsiaTheme="minorHAnsi" w:cstheme="minorBidi"/>
        </w:rPr>
        <w:commentReference w:id="25"/>
      </w:r>
      <w:bookmarkEnd w:id="23"/>
      <w:bookmarkEnd w:id="24"/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6" w:name="_Toc472962412"/>
      <w:bookmarkStart w:id="27" w:name="_Toc472963001"/>
      <w:commentRangeStart w:id="28"/>
      <w:r>
        <w:t>Závěr</w:t>
      </w:r>
      <w:commentRangeEnd w:id="28"/>
      <w:r>
        <w:rPr>
          <w:rStyle w:val="Odkaznakoment"/>
          <w:rFonts w:eastAsiaTheme="minorHAnsi" w:cstheme="minorBidi"/>
        </w:rPr>
        <w:commentReference w:id="28"/>
      </w:r>
      <w:bookmarkEnd w:id="26"/>
      <w:bookmarkEnd w:id="27"/>
    </w:p>
    <w:p w14:paraId="088D5E97" w14:textId="77777777" w:rsidR="00CA20AA" w:rsidRDefault="00CA20AA" w:rsidP="00CA20AA"/>
    <w:p w14:paraId="327284E6" w14:textId="77777777" w:rsidR="00CA20AA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  <w:r>
        <w:t>info o celkovém množství dat pro každého ze 3 pacientů – kolik CGM záznamů v databázi bylo, aby bylo poměrově jasné, proč jednomu to našlo tolik a druhýmu tolik segmentů</w:t>
      </w:r>
    </w:p>
    <w:p w14:paraId="6E612E50" w14:textId="77777777" w:rsidR="00CA20AA" w:rsidRPr="00536DA8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</w:p>
    <w:p w14:paraId="213AAD33" w14:textId="77777777" w:rsidR="00CA20AA" w:rsidRDefault="00CA20AA" w:rsidP="00CA20AA"/>
    <w:p w14:paraId="63133400" w14:textId="77777777" w:rsidR="00CA20AA" w:rsidRPr="003A0FE8" w:rsidRDefault="00CA20AA" w:rsidP="00CA20AA">
      <w:pPr>
        <w:rPr>
          <w:i/>
        </w:rPr>
      </w:pPr>
      <w:r w:rsidRPr="003A0FE8">
        <w:rPr>
          <w:i/>
        </w:rPr>
        <w:t>poznámky</w:t>
      </w:r>
    </w:p>
    <w:p w14:paraId="72BEBFDC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vytvořené algoritmy mohou sloužit k:</w:t>
      </w:r>
    </w:p>
    <w:p w14:paraId="1AD34F4A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 xml:space="preserve">rychlé orientaci v grafických záznamech v případě hledání míst zvýšené fyzické aktivity, </w:t>
      </w:r>
    </w:p>
    <w:p w14:paraId="379580CE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posuzování chování glykémie v úsecích s podobným charakterem pohybu (doba a intenzita zátěže)</w:t>
      </w:r>
    </w:p>
    <w:p w14:paraId="7D7B3E24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hledání závislosti mezi rychlostí poklesu glykémie a intenzitou fyzické zátěže</w:t>
      </w:r>
    </w:p>
    <w:p w14:paraId="7C0BED13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díky těmto informacím se může pacient poučit z předešlých podobných situací, při nichž došlo k nežádoucím výkyvům glykémie, a provést změny léčebného režimu tak, aby bylo takovýmto výkyvům v příští podobné situaci již zamezeno. Podpora znalosti chování glykémie v situacích zvýšené fyzické aktivity může navíc pozitivně ovlivnit přístup pacienta k vykonávání aktivit, kterým se dříve vyhýbal v důsledku špatného zvládání glykemických výkyvů v jejich průběhu.</w:t>
      </w:r>
    </w:p>
    <w:p w14:paraId="7092F7CC" w14:textId="77777777" w:rsidR="00CA20AA" w:rsidRPr="003733C3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přes toto vyhledávání lze také rychle vyčíst, zda a jak je pacient schopen vypořádat se s různou intenzitou a dobou trvání fyzické aktivity v souvislosti s mírou poklesu glykémie v daném nalezeném segmentu.</w:t>
      </w:r>
    </w:p>
    <w:p w14:paraId="51393DBA" w14:textId="77777777" w:rsidR="00CA20AA" w:rsidRPr="00B528CA" w:rsidRDefault="00CA20AA" w:rsidP="00CA20AA"/>
    <w:p w14:paraId="1C01E2B6" w14:textId="77777777" w:rsidR="00CA20AA" w:rsidRPr="00B528CA" w:rsidRDefault="00CA20AA" w:rsidP="00CA20AA"/>
    <w:p w14:paraId="0F63274D" w14:textId="77777777" w:rsidR="00CA20AA" w:rsidRPr="00651563" w:rsidRDefault="00CA20AA" w:rsidP="00CA20AA"/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9" w:name="_Toc472962413"/>
      <w:bookmarkStart w:id="30" w:name="_Toc472963002"/>
      <w:r w:rsidRPr="00651563">
        <w:lastRenderedPageBreak/>
        <w:t>Reference</w:t>
      </w:r>
      <w:bookmarkEnd w:id="29"/>
      <w:bookmarkEnd w:id="30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BROŽ,J., Diabetes a sport. 2012, Praha: Maxdorf.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r w:rsidRPr="00380379">
        <w:rPr>
          <w:i/>
          <w:iCs/>
        </w:rPr>
        <w:t>Exercise and sport in diabetes</w:t>
      </w:r>
      <w:r w:rsidRPr="00380379">
        <w:t>. 2nd ed. 2006: Wiley.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iPro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Diasend,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Dostupné z:  </w:t>
      </w:r>
      <w:hyperlink r:id="rId20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Glooko, </w:t>
      </w:r>
      <w:r w:rsidRPr="00797F76">
        <w:rPr>
          <w:lang w:val="en-US"/>
        </w:rPr>
        <w:t xml:space="preserve">[online] 2016. Dostupné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r w:rsidRPr="00797F76">
        <w:rPr>
          <w:lang w:val="en-US"/>
        </w:rPr>
        <w:t xml:space="preserve">Cellnovo. Cellnovo System. [online] 2016. Dostupné z: </w:t>
      </w:r>
      <w:r w:rsidRPr="00E457DA">
        <w:rPr>
          <w:lang w:val="en-US"/>
        </w:rPr>
        <w:t>http://www2.cellnovo.com/applications</w:t>
      </w:r>
    </w:p>
    <w:p w14:paraId="32B0B172" w14:textId="77777777" w:rsidR="00CA20AA" w:rsidRPr="00797F76" w:rsidRDefault="00CA20AA" w:rsidP="00CA20AA">
      <w:pPr>
        <w:jc w:val="left"/>
        <w:rPr>
          <w:lang w:val="en-US"/>
        </w:rPr>
      </w:pPr>
    </w:p>
    <w:sectPr w:rsidR="00CA20AA" w:rsidRPr="00797F76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nna Holubová" w:date="2017-01-13T11:17:00Z" w:initials="AH">
    <w:p w14:paraId="204B565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jak jsi tvořil algoritmy pro nalezení těch situací a jejich popis</w:t>
      </w:r>
    </w:p>
  </w:comment>
  <w:comment w:id="16" w:author="Anna Holubová" w:date="2017-01-13T11:18:00Z" w:initials="AH">
    <w:p w14:paraId="053CA9A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na kolika pacientech a na jak rozsáhlých datech byly algoritmy testovaný, jakým způsobem byla prováděna analýza dat</w:t>
      </w:r>
    </w:p>
  </w:comment>
  <w:comment w:id="19" w:author="Anna Holubová" w:date="2017-01-13T11:20:00Z" w:initials="AH">
    <w:p w14:paraId="0345B8FA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tabulky, grafy, obrázky,…. s výsledky - hodnoty</w:t>
      </w:r>
    </w:p>
  </w:comment>
  <w:comment w:id="20" w:author="Anna Holubová" w:date="2017-01-23T08:56:00Z" w:initials="AH">
    <w:p w14:paraId="24D5F69C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JK_1007</w:t>
      </w:r>
    </w:p>
  </w:comment>
  <w:comment w:id="21" w:author="Anna Holubová" w:date="2017-01-23T09:03:00Z" w:initials="AH">
    <w:p w14:paraId="3F628375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Holubova Anna</w:t>
      </w:r>
    </w:p>
  </w:comment>
  <w:comment w:id="22" w:author="Anna Holubová" w:date="2017-01-23T09:03:00Z" w:initials="AH">
    <w:p w14:paraId="415A069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KP_1003</w:t>
      </w:r>
    </w:p>
  </w:comment>
  <w:comment w:id="25" w:author="Anna Holubová" w:date="2017-01-13T11:21:00Z" w:initials="AH">
    <w:p w14:paraId="35BC3FC0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komentáře, co se (ne)povedlo, návrhy na zlepšení</w:t>
      </w:r>
    </w:p>
  </w:comment>
  <w:comment w:id="28" w:author="Anna Holubová" w:date="2017-01-13T11:21:00Z" w:initials="AH">
    <w:p w14:paraId="11E6819E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co se udělalo a k čemu je to dobrý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4B565B" w15:done="0"/>
  <w15:commentEx w15:paraId="053CA9AB" w15:done="0"/>
  <w15:commentEx w15:paraId="0345B8FA" w15:done="0"/>
  <w15:commentEx w15:paraId="24D5F69C" w15:done="0"/>
  <w15:commentEx w15:paraId="3F628375" w15:done="0"/>
  <w15:commentEx w15:paraId="415A069B" w15:done="0"/>
  <w15:commentEx w15:paraId="35BC3FC0" w15:done="0"/>
  <w15:commentEx w15:paraId="11E68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B9AB7" w14:textId="77777777" w:rsidR="00756851" w:rsidRDefault="00756851" w:rsidP="00906E54">
      <w:pPr>
        <w:spacing w:after="0" w:line="240" w:lineRule="auto"/>
      </w:pPr>
      <w:r>
        <w:separator/>
      </w:r>
    </w:p>
  </w:endnote>
  <w:endnote w:type="continuationSeparator" w:id="0">
    <w:p w14:paraId="69E51F5F" w14:textId="77777777" w:rsidR="00756851" w:rsidRDefault="00756851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777777" w:rsidR="00467530" w:rsidRPr="00794C02" w:rsidRDefault="00467530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květen 2016</w:t>
    </w:r>
  </w:p>
  <w:p w14:paraId="63BC6C28" w14:textId="77777777" w:rsidR="00467530" w:rsidRDefault="00467530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467530" w:rsidRDefault="00467530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467530" w:rsidRDefault="00467530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467530" w:rsidRPr="00C521D5" w:rsidRDefault="00467530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CB5C61" w:rsidRDefault="0075685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33605" w14:textId="77777777" w:rsidR="00756851" w:rsidRDefault="00756851" w:rsidP="00906E54">
      <w:pPr>
        <w:spacing w:after="0" w:line="240" w:lineRule="auto"/>
      </w:pPr>
      <w:r>
        <w:separator/>
      </w:r>
    </w:p>
  </w:footnote>
  <w:footnote w:type="continuationSeparator" w:id="0">
    <w:p w14:paraId="2E2F0719" w14:textId="77777777" w:rsidR="00756851" w:rsidRDefault="00756851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467530" w:rsidRDefault="00467530">
    <w:pPr>
      <w:pStyle w:val="Zhlav"/>
    </w:pPr>
  </w:p>
  <w:p w14:paraId="7E038DBA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467530" w:rsidRDefault="00467530">
    <w:pPr>
      <w:pStyle w:val="Zhlav"/>
    </w:pPr>
  </w:p>
  <w:p w14:paraId="291AE3D0" w14:textId="77777777" w:rsidR="00467530" w:rsidRDefault="00467530">
    <w:pPr>
      <w:pStyle w:val="Zhlav"/>
    </w:pPr>
  </w:p>
  <w:p w14:paraId="07A268A0" w14:textId="77777777" w:rsidR="00467530" w:rsidRDefault="0046753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467530" w:rsidRPr="0092460B" w:rsidRDefault="00467530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467530" w:rsidRPr="0045321E" w:rsidRDefault="00467530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467530" w:rsidRDefault="00467530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CB5C61" w:rsidRPr="00961A09" w:rsidRDefault="00756851" w:rsidP="00961A0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5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0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3"/>
  </w:num>
  <w:num w:numId="3">
    <w:abstractNumId w:val="0"/>
  </w:num>
  <w:num w:numId="4">
    <w:abstractNumId w:val="2"/>
  </w:num>
  <w:num w:numId="5">
    <w:abstractNumId w:val="12"/>
  </w:num>
  <w:num w:numId="6">
    <w:abstractNumId w:val="31"/>
  </w:num>
  <w:num w:numId="7">
    <w:abstractNumId w:val="22"/>
  </w:num>
  <w:num w:numId="8">
    <w:abstractNumId w:val="5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30"/>
  </w:num>
  <w:num w:numId="20">
    <w:abstractNumId w:val="9"/>
  </w:num>
  <w:num w:numId="21">
    <w:abstractNumId w:val="17"/>
  </w:num>
  <w:num w:numId="22">
    <w:abstractNumId w:val="6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8"/>
  </w:num>
  <w:num w:numId="28">
    <w:abstractNumId w:val="29"/>
  </w:num>
  <w:num w:numId="29">
    <w:abstractNumId w:val="24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7"/>
  </w:num>
  <w:num w:numId="35">
    <w:abstractNumId w:val="20"/>
  </w:num>
  <w:num w:numId="36">
    <w:abstractNumId w:val="26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Holubová">
    <w15:presenceInfo w15:providerId="Windows Live" w15:userId="c71a517d164ab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6E58"/>
    <w:rsid w:val="0001182B"/>
    <w:rsid w:val="000124E6"/>
    <w:rsid w:val="000130F0"/>
    <w:rsid w:val="00013BAB"/>
    <w:rsid w:val="00013BC4"/>
    <w:rsid w:val="00013D2C"/>
    <w:rsid w:val="000154FF"/>
    <w:rsid w:val="00015B35"/>
    <w:rsid w:val="000200E2"/>
    <w:rsid w:val="0002027F"/>
    <w:rsid w:val="000208F9"/>
    <w:rsid w:val="00020F40"/>
    <w:rsid w:val="000254A8"/>
    <w:rsid w:val="000276D4"/>
    <w:rsid w:val="000277E5"/>
    <w:rsid w:val="0003003E"/>
    <w:rsid w:val="000314D0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695"/>
    <w:rsid w:val="000547C1"/>
    <w:rsid w:val="00054800"/>
    <w:rsid w:val="000553A1"/>
    <w:rsid w:val="000555AB"/>
    <w:rsid w:val="00055F6E"/>
    <w:rsid w:val="00057637"/>
    <w:rsid w:val="00057DF0"/>
    <w:rsid w:val="0006121B"/>
    <w:rsid w:val="0006148C"/>
    <w:rsid w:val="00061A2E"/>
    <w:rsid w:val="00062583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C6"/>
    <w:rsid w:val="00077689"/>
    <w:rsid w:val="00080478"/>
    <w:rsid w:val="00080E5B"/>
    <w:rsid w:val="00081B65"/>
    <w:rsid w:val="00082F7E"/>
    <w:rsid w:val="000834ED"/>
    <w:rsid w:val="000862FF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1659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80686"/>
    <w:rsid w:val="00180F99"/>
    <w:rsid w:val="00181B18"/>
    <w:rsid w:val="00182350"/>
    <w:rsid w:val="00182C14"/>
    <w:rsid w:val="00183204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3EEB"/>
    <w:rsid w:val="001D4624"/>
    <w:rsid w:val="001D4854"/>
    <w:rsid w:val="001D496D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3921"/>
    <w:rsid w:val="00233B86"/>
    <w:rsid w:val="00235E8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707C"/>
    <w:rsid w:val="002501AB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D0539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3E4"/>
    <w:rsid w:val="002F3B31"/>
    <w:rsid w:val="002F5F9C"/>
    <w:rsid w:val="002F76E4"/>
    <w:rsid w:val="0030218B"/>
    <w:rsid w:val="00302750"/>
    <w:rsid w:val="003040CC"/>
    <w:rsid w:val="0030418C"/>
    <w:rsid w:val="00305727"/>
    <w:rsid w:val="0030586F"/>
    <w:rsid w:val="00305E61"/>
    <w:rsid w:val="00306885"/>
    <w:rsid w:val="00310474"/>
    <w:rsid w:val="00310F54"/>
    <w:rsid w:val="0031100C"/>
    <w:rsid w:val="00313A44"/>
    <w:rsid w:val="00314250"/>
    <w:rsid w:val="00315D6C"/>
    <w:rsid w:val="00316057"/>
    <w:rsid w:val="00316B52"/>
    <w:rsid w:val="003178D3"/>
    <w:rsid w:val="00320917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254E"/>
    <w:rsid w:val="00343B3C"/>
    <w:rsid w:val="003440F6"/>
    <w:rsid w:val="00344AE9"/>
    <w:rsid w:val="00345BA2"/>
    <w:rsid w:val="0034772F"/>
    <w:rsid w:val="003479F4"/>
    <w:rsid w:val="00347E9E"/>
    <w:rsid w:val="00351BF0"/>
    <w:rsid w:val="00351E05"/>
    <w:rsid w:val="00352A5B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999"/>
    <w:rsid w:val="00396F04"/>
    <w:rsid w:val="00397519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4001FD"/>
    <w:rsid w:val="004011F0"/>
    <w:rsid w:val="00401431"/>
    <w:rsid w:val="004034C1"/>
    <w:rsid w:val="004044FF"/>
    <w:rsid w:val="00404D2F"/>
    <w:rsid w:val="00404F07"/>
    <w:rsid w:val="00405623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63F0"/>
    <w:rsid w:val="004B10E9"/>
    <w:rsid w:val="004B20C2"/>
    <w:rsid w:val="004B245E"/>
    <w:rsid w:val="004B299D"/>
    <w:rsid w:val="004B33F9"/>
    <w:rsid w:val="004B3ACE"/>
    <w:rsid w:val="004B4566"/>
    <w:rsid w:val="004B4C8D"/>
    <w:rsid w:val="004B6ABC"/>
    <w:rsid w:val="004C141D"/>
    <w:rsid w:val="004C2897"/>
    <w:rsid w:val="004C335E"/>
    <w:rsid w:val="004C4B8B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D2A"/>
    <w:rsid w:val="00510681"/>
    <w:rsid w:val="00512256"/>
    <w:rsid w:val="00512871"/>
    <w:rsid w:val="00512E93"/>
    <w:rsid w:val="0051369D"/>
    <w:rsid w:val="00514E99"/>
    <w:rsid w:val="0051512C"/>
    <w:rsid w:val="0051589D"/>
    <w:rsid w:val="00515D47"/>
    <w:rsid w:val="00516948"/>
    <w:rsid w:val="00517FC7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DCD"/>
    <w:rsid w:val="00537542"/>
    <w:rsid w:val="00537D1C"/>
    <w:rsid w:val="0054091F"/>
    <w:rsid w:val="005415C0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F06"/>
    <w:rsid w:val="00583766"/>
    <w:rsid w:val="00583A15"/>
    <w:rsid w:val="00583B5F"/>
    <w:rsid w:val="00583EEF"/>
    <w:rsid w:val="005840A9"/>
    <w:rsid w:val="005844B7"/>
    <w:rsid w:val="005846CE"/>
    <w:rsid w:val="00585F9B"/>
    <w:rsid w:val="00586329"/>
    <w:rsid w:val="00590510"/>
    <w:rsid w:val="0059091E"/>
    <w:rsid w:val="0059162F"/>
    <w:rsid w:val="005918F9"/>
    <w:rsid w:val="00591C67"/>
    <w:rsid w:val="005921F4"/>
    <w:rsid w:val="005929C7"/>
    <w:rsid w:val="00593A0A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F1"/>
    <w:rsid w:val="00627F3E"/>
    <w:rsid w:val="00630979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7378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D367B"/>
    <w:rsid w:val="006D3E97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681D"/>
    <w:rsid w:val="006E79B0"/>
    <w:rsid w:val="006E79FF"/>
    <w:rsid w:val="006F04ED"/>
    <w:rsid w:val="006F0B71"/>
    <w:rsid w:val="006F123C"/>
    <w:rsid w:val="006F1664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5E49"/>
    <w:rsid w:val="00717D7C"/>
    <w:rsid w:val="00720657"/>
    <w:rsid w:val="00720E93"/>
    <w:rsid w:val="00720F57"/>
    <w:rsid w:val="00721CE8"/>
    <w:rsid w:val="00721F10"/>
    <w:rsid w:val="00725968"/>
    <w:rsid w:val="00730B18"/>
    <w:rsid w:val="00730F0E"/>
    <w:rsid w:val="007338E8"/>
    <w:rsid w:val="00734367"/>
    <w:rsid w:val="00735792"/>
    <w:rsid w:val="007427D5"/>
    <w:rsid w:val="00742DA9"/>
    <w:rsid w:val="007441F3"/>
    <w:rsid w:val="0074424B"/>
    <w:rsid w:val="007446C1"/>
    <w:rsid w:val="00744BEF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1C23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39F8"/>
    <w:rsid w:val="007C4C89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C45"/>
    <w:rsid w:val="00847D8C"/>
    <w:rsid w:val="0085195C"/>
    <w:rsid w:val="00851D0F"/>
    <w:rsid w:val="00855272"/>
    <w:rsid w:val="00855B67"/>
    <w:rsid w:val="0085708C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B04B0"/>
    <w:rsid w:val="008B05C2"/>
    <w:rsid w:val="008B072E"/>
    <w:rsid w:val="008B0D48"/>
    <w:rsid w:val="008B0E99"/>
    <w:rsid w:val="008B163C"/>
    <w:rsid w:val="008B1745"/>
    <w:rsid w:val="008B283F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3815"/>
    <w:rsid w:val="009A3CA7"/>
    <w:rsid w:val="009A4256"/>
    <w:rsid w:val="009A5A00"/>
    <w:rsid w:val="009A5A3B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1165"/>
    <w:rsid w:val="009D2586"/>
    <w:rsid w:val="009D2FA4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577C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4DAE"/>
    <w:rsid w:val="00A65345"/>
    <w:rsid w:val="00A6543D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FB0"/>
    <w:rsid w:val="00AC445E"/>
    <w:rsid w:val="00AC5066"/>
    <w:rsid w:val="00AC53E1"/>
    <w:rsid w:val="00AC7377"/>
    <w:rsid w:val="00AC7663"/>
    <w:rsid w:val="00AC7B62"/>
    <w:rsid w:val="00AD05C8"/>
    <w:rsid w:val="00AD0CBA"/>
    <w:rsid w:val="00AD1D6B"/>
    <w:rsid w:val="00AD2491"/>
    <w:rsid w:val="00AD29ED"/>
    <w:rsid w:val="00AD41F0"/>
    <w:rsid w:val="00AD6B44"/>
    <w:rsid w:val="00AD6DD8"/>
    <w:rsid w:val="00AD78F9"/>
    <w:rsid w:val="00AE1FAF"/>
    <w:rsid w:val="00AE2A9F"/>
    <w:rsid w:val="00AE4080"/>
    <w:rsid w:val="00AE471D"/>
    <w:rsid w:val="00AE4C51"/>
    <w:rsid w:val="00AE50ED"/>
    <w:rsid w:val="00AE6949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3DB2"/>
    <w:rsid w:val="00B2471E"/>
    <w:rsid w:val="00B25CA2"/>
    <w:rsid w:val="00B27378"/>
    <w:rsid w:val="00B27528"/>
    <w:rsid w:val="00B301A2"/>
    <w:rsid w:val="00B31BF4"/>
    <w:rsid w:val="00B34D6C"/>
    <w:rsid w:val="00B34E5F"/>
    <w:rsid w:val="00B35694"/>
    <w:rsid w:val="00B35D60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5167"/>
    <w:rsid w:val="00B55D29"/>
    <w:rsid w:val="00B568B1"/>
    <w:rsid w:val="00B5778C"/>
    <w:rsid w:val="00B61F09"/>
    <w:rsid w:val="00B62364"/>
    <w:rsid w:val="00B6376A"/>
    <w:rsid w:val="00B63A2A"/>
    <w:rsid w:val="00B64017"/>
    <w:rsid w:val="00B64BD1"/>
    <w:rsid w:val="00B667A7"/>
    <w:rsid w:val="00B7187B"/>
    <w:rsid w:val="00B72A3A"/>
    <w:rsid w:val="00B73661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719F"/>
    <w:rsid w:val="00BA0B1B"/>
    <w:rsid w:val="00BA0E09"/>
    <w:rsid w:val="00BA186B"/>
    <w:rsid w:val="00BA1BD7"/>
    <w:rsid w:val="00BA1FA0"/>
    <w:rsid w:val="00BA3056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10410"/>
    <w:rsid w:val="00C1062D"/>
    <w:rsid w:val="00C10A6D"/>
    <w:rsid w:val="00C112AE"/>
    <w:rsid w:val="00C119C7"/>
    <w:rsid w:val="00C121E0"/>
    <w:rsid w:val="00C15317"/>
    <w:rsid w:val="00C15B58"/>
    <w:rsid w:val="00C16FDE"/>
    <w:rsid w:val="00C17723"/>
    <w:rsid w:val="00C17BDB"/>
    <w:rsid w:val="00C17D3C"/>
    <w:rsid w:val="00C20FEB"/>
    <w:rsid w:val="00C22A2F"/>
    <w:rsid w:val="00C234AB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E19"/>
    <w:rsid w:val="00C96F21"/>
    <w:rsid w:val="00C970FF"/>
    <w:rsid w:val="00C9756F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586D"/>
    <w:rsid w:val="00CF77D3"/>
    <w:rsid w:val="00CF7A8E"/>
    <w:rsid w:val="00D00376"/>
    <w:rsid w:val="00D0404F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1250"/>
    <w:rsid w:val="00D326AB"/>
    <w:rsid w:val="00D32BFF"/>
    <w:rsid w:val="00D34294"/>
    <w:rsid w:val="00D34648"/>
    <w:rsid w:val="00D34E01"/>
    <w:rsid w:val="00D350AF"/>
    <w:rsid w:val="00D35358"/>
    <w:rsid w:val="00D36681"/>
    <w:rsid w:val="00D36F0A"/>
    <w:rsid w:val="00D37972"/>
    <w:rsid w:val="00D37DEA"/>
    <w:rsid w:val="00D37E1E"/>
    <w:rsid w:val="00D42071"/>
    <w:rsid w:val="00D427C7"/>
    <w:rsid w:val="00D459A1"/>
    <w:rsid w:val="00D45BB0"/>
    <w:rsid w:val="00D45ECF"/>
    <w:rsid w:val="00D46090"/>
    <w:rsid w:val="00D4700E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91197"/>
    <w:rsid w:val="00D91759"/>
    <w:rsid w:val="00D9283B"/>
    <w:rsid w:val="00D9312A"/>
    <w:rsid w:val="00D941BD"/>
    <w:rsid w:val="00D94D92"/>
    <w:rsid w:val="00D96C60"/>
    <w:rsid w:val="00DA0DE2"/>
    <w:rsid w:val="00DA4A7C"/>
    <w:rsid w:val="00DA562A"/>
    <w:rsid w:val="00DA5E74"/>
    <w:rsid w:val="00DA6BB4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5365"/>
    <w:rsid w:val="00DD659B"/>
    <w:rsid w:val="00DD6C00"/>
    <w:rsid w:val="00DE02D9"/>
    <w:rsid w:val="00DE0B1C"/>
    <w:rsid w:val="00DE0C6E"/>
    <w:rsid w:val="00DE304A"/>
    <w:rsid w:val="00DE38DD"/>
    <w:rsid w:val="00DE6164"/>
    <w:rsid w:val="00DE68B5"/>
    <w:rsid w:val="00DE76ED"/>
    <w:rsid w:val="00DE7CA1"/>
    <w:rsid w:val="00DF03A8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705"/>
    <w:rsid w:val="00E268F0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780B"/>
    <w:rsid w:val="00E803F4"/>
    <w:rsid w:val="00E80D1A"/>
    <w:rsid w:val="00E80D83"/>
    <w:rsid w:val="00E81644"/>
    <w:rsid w:val="00E82B69"/>
    <w:rsid w:val="00E8397D"/>
    <w:rsid w:val="00E83A7C"/>
    <w:rsid w:val="00E87DA9"/>
    <w:rsid w:val="00E908DF"/>
    <w:rsid w:val="00E91B1F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610"/>
    <w:rsid w:val="00ED26F6"/>
    <w:rsid w:val="00ED3AF2"/>
    <w:rsid w:val="00ED4ED2"/>
    <w:rsid w:val="00ED681B"/>
    <w:rsid w:val="00ED6E6B"/>
    <w:rsid w:val="00EE020B"/>
    <w:rsid w:val="00EE047C"/>
    <w:rsid w:val="00EE0B57"/>
    <w:rsid w:val="00EE0F52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4274"/>
    <w:rsid w:val="00F44E8B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4A83"/>
    <w:rsid w:val="00F96AD2"/>
    <w:rsid w:val="00F975C3"/>
    <w:rsid w:val="00F979AB"/>
    <w:rsid w:val="00F97DCE"/>
    <w:rsid w:val="00FA09F8"/>
    <w:rsid w:val="00FA11E3"/>
    <w:rsid w:val="00FA1D88"/>
    <w:rsid w:val="00FA2203"/>
    <w:rsid w:val="00FA2DE5"/>
    <w:rsid w:val="00FA7522"/>
    <w:rsid w:val="00FB0487"/>
    <w:rsid w:val="00FB0A06"/>
    <w:rsid w:val="00FB20CB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C62718"/>
    <w:pPr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B75AA"/>
    <w:pPr>
      <w:keepNext/>
      <w:numPr>
        <w:numId w:val="3"/>
      </w:numPr>
      <w:spacing w:before="240" w:after="12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75AA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diasend.com/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6B0F7BB6-4F5C-47E3-9D9E-C0F19A35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15298</TotalTime>
  <Pages>13</Pages>
  <Words>2683</Words>
  <Characters>15836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18483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568</cp:revision>
  <cp:lastPrinted>2016-05-25T10:01:00Z</cp:lastPrinted>
  <dcterms:created xsi:type="dcterms:W3CDTF">2014-01-10T15:04:00Z</dcterms:created>
  <dcterms:modified xsi:type="dcterms:W3CDTF">2017-01-24T22:09:00Z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