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9E" w:rsidRPr="00960E9E" w:rsidRDefault="00960E9E" w:rsidP="00960E9E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C5298B" w:rsidRPr="00DE1EA7" w:rsidRDefault="00960E9E" w:rsidP="00960E9E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 w:rsidRPr="00960E9E">
        <w:rPr>
          <w:rFonts w:ascii="Arial" w:hAnsi="Arial" w:cs="Arial"/>
        </w:rPr>
        <w:t xml:space="preserve"> </w:t>
      </w:r>
      <w:r w:rsidRPr="00960E9E">
        <w:rPr>
          <w:rFonts w:ascii="Arial" w:hAnsi="Arial" w:cs="Arial"/>
          <w:b/>
          <w:bCs/>
          <w:sz w:val="72"/>
          <w:szCs w:val="32"/>
        </w:rPr>
        <w:t xml:space="preserve">Měření </w:t>
      </w:r>
      <w:r w:rsidR="0008276C">
        <w:rPr>
          <w:rFonts w:ascii="Arial" w:hAnsi="Arial" w:cs="Arial"/>
          <w:b/>
          <w:bCs/>
          <w:sz w:val="72"/>
          <w:szCs w:val="32"/>
        </w:rPr>
        <w:t>numerické apertury</w:t>
      </w:r>
      <w:r w:rsidRPr="00960E9E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8276C" w:rsidRPr="0008276C" w:rsidRDefault="0008276C" w:rsidP="0008276C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08276C" w:rsidRPr="0008276C" w:rsidRDefault="0008276C" w:rsidP="0008276C">
      <w:pPr>
        <w:pStyle w:val="Nadpis1"/>
      </w:pPr>
      <w:r w:rsidRPr="0008276C">
        <w:rPr>
          <w:szCs w:val="24"/>
        </w:rPr>
        <w:t xml:space="preserve"> </w:t>
      </w:r>
      <w:r w:rsidRPr="0008276C">
        <w:t xml:space="preserve">Cíle cvičení </w:t>
      </w:r>
    </w:p>
    <w:p w:rsidR="0008276C" w:rsidRPr="0008276C" w:rsidRDefault="0008276C" w:rsidP="0008276C">
      <w:r w:rsidRPr="0008276C">
        <w:rPr>
          <w:rFonts w:ascii="Arial" w:hAnsi="Arial" w:cs="Arial"/>
        </w:rPr>
        <w:t xml:space="preserve">• </w:t>
      </w:r>
      <w:r w:rsidRPr="0008276C">
        <w:t xml:space="preserve">Zapojit přístroje pro měření numerické apertury (NA) vláken s využitím modulovaného signálu. </w:t>
      </w:r>
    </w:p>
    <w:p w:rsidR="0008276C" w:rsidRPr="0008276C" w:rsidRDefault="0008276C" w:rsidP="0008276C">
      <w:r w:rsidRPr="0008276C">
        <w:t xml:space="preserve">• Pro každé z předložených vláken (křemenné </w:t>
      </w:r>
      <w:proofErr w:type="spellStart"/>
      <w:r w:rsidRPr="0008276C">
        <w:t>jednovidové</w:t>
      </w:r>
      <w:proofErr w:type="spellEnd"/>
      <w:r w:rsidRPr="0008276C">
        <w:t xml:space="preserve"> typu SMF-28, křemenné </w:t>
      </w:r>
      <w:proofErr w:type="spellStart"/>
      <w:r w:rsidRPr="0008276C">
        <w:t>vícevidové</w:t>
      </w:r>
      <w:proofErr w:type="spellEnd"/>
      <w:r w:rsidRPr="0008276C">
        <w:t xml:space="preserve"> typu OM3, plastové </w:t>
      </w:r>
      <w:proofErr w:type="spellStart"/>
      <w:r w:rsidRPr="0008276C">
        <w:t>vícevidové</w:t>
      </w:r>
      <w:proofErr w:type="spellEnd"/>
      <w:r w:rsidRPr="0008276C">
        <w:t xml:space="preserve"> typu HFBR-RUS100) zjistit křivku detekovaného výkonu při odklánění detekčního vlákna od osy měřeného vlákna. Z křivky určit NA a porovnat s údajem výrobce. </w:t>
      </w:r>
    </w:p>
    <w:p w:rsidR="0008276C" w:rsidRPr="0008276C" w:rsidRDefault="0008276C" w:rsidP="0008276C">
      <w:r w:rsidRPr="0008276C">
        <w:t xml:space="preserve">• Pro </w:t>
      </w:r>
      <w:proofErr w:type="spellStart"/>
      <w:r w:rsidRPr="0008276C">
        <w:t>jednovidové</w:t>
      </w:r>
      <w:proofErr w:type="spellEnd"/>
      <w:r w:rsidRPr="0008276C">
        <w:t xml:space="preserve"> vlákno najít šířku Gaussova svazku v rovině čela detekčního vlákna. </w:t>
      </w:r>
    </w:p>
    <w:p w:rsidR="0008276C" w:rsidRPr="0008276C" w:rsidRDefault="0008276C" w:rsidP="0008276C">
      <w:pPr>
        <w:pStyle w:val="Nadpis1"/>
      </w:pPr>
      <w:r w:rsidRPr="0008276C">
        <w:t xml:space="preserve">Popis zapojení </w:t>
      </w:r>
    </w:p>
    <w:p w:rsidR="0008276C" w:rsidRPr="0008276C" w:rsidRDefault="0008276C" w:rsidP="0008276C">
      <w:r w:rsidRPr="0008276C">
        <w:t xml:space="preserve">K měření NA využijeme jako zdroj signálu moduly SFP (angl. </w:t>
      </w:r>
      <w:proofErr w:type="spellStart"/>
      <w:r w:rsidRPr="0008276C">
        <w:rPr>
          <w:i/>
          <w:iCs/>
        </w:rPr>
        <w:t>Small</w:t>
      </w:r>
      <w:proofErr w:type="spellEnd"/>
      <w:r w:rsidRPr="0008276C">
        <w:rPr>
          <w:i/>
          <w:iCs/>
        </w:rPr>
        <w:t xml:space="preserve"> </w:t>
      </w:r>
      <w:proofErr w:type="spellStart"/>
      <w:r w:rsidRPr="0008276C">
        <w:rPr>
          <w:i/>
          <w:iCs/>
        </w:rPr>
        <w:t>Form</w:t>
      </w:r>
      <w:proofErr w:type="spellEnd"/>
      <w:r w:rsidRPr="0008276C">
        <w:rPr>
          <w:i/>
          <w:iCs/>
        </w:rPr>
        <w:t xml:space="preserve"> </w:t>
      </w:r>
      <w:proofErr w:type="spellStart"/>
      <w:r w:rsidRPr="0008276C">
        <w:rPr>
          <w:i/>
          <w:iCs/>
        </w:rPr>
        <w:t>Pluggable</w:t>
      </w:r>
      <w:proofErr w:type="spellEnd"/>
      <w:r w:rsidRPr="0008276C">
        <w:t xml:space="preserve">), které se používají pro datové komunikace. Moduly jsou buzeny generátorem obdélníkového signálu na 100 kHz. Na přijímací straně je signál převeden na elektrický signál a díky modulaci je možno ho odlišit od šumu a okolního světla. Selekci provádí spektrální analyzátor. </w:t>
      </w:r>
    </w:p>
    <w:p w:rsidR="0008276C" w:rsidRDefault="0008276C" w:rsidP="0008276C">
      <w:r w:rsidRPr="0008276C">
        <w:t xml:space="preserve">Blokové schéma ukazuje obr. 1. Generátor funkcí budí modul na 850 </w:t>
      </w:r>
      <w:proofErr w:type="spellStart"/>
      <w:r w:rsidRPr="0008276C">
        <w:t>nm</w:t>
      </w:r>
      <w:proofErr w:type="spellEnd"/>
      <w:r w:rsidRPr="0008276C">
        <w:t xml:space="preserve"> (pro </w:t>
      </w:r>
      <w:proofErr w:type="spellStart"/>
      <w:r w:rsidRPr="0008276C">
        <w:t>vícevidová</w:t>
      </w:r>
      <w:proofErr w:type="spellEnd"/>
      <w:r w:rsidRPr="0008276C">
        <w:t xml:space="preserve"> vlákna), resp. modul na 1550 </w:t>
      </w:r>
      <w:proofErr w:type="spellStart"/>
      <w:r w:rsidRPr="0008276C">
        <w:t>nm</w:t>
      </w:r>
      <w:proofErr w:type="spellEnd"/>
      <w:r w:rsidRPr="0008276C">
        <w:t xml:space="preserve"> (pro </w:t>
      </w:r>
      <w:proofErr w:type="spellStart"/>
      <w:r w:rsidRPr="0008276C">
        <w:t>jednovidové</w:t>
      </w:r>
      <w:proofErr w:type="spellEnd"/>
      <w:r w:rsidRPr="0008276C">
        <w:t xml:space="preserve"> vlákno). Druhý konec měřeného vlákna je upnut uprostřed otočného stolku. Záření z konce se rozbíhá do prostoru a jeho část zachycuje čelní plocha druhého vlákna, které vede signál k optoelektronickému převodníku s nastavitelným zesílením. Čelo tohoto druhého vlákna lze odklánět a díky širokému jádru se do něj naváže dostatečný </w:t>
      </w:r>
      <w:proofErr w:type="gramStart"/>
      <w:r w:rsidRPr="0008276C">
        <w:t>výkon..</w:t>
      </w:r>
      <w:proofErr w:type="gramEnd"/>
      <w:r w:rsidRPr="0008276C">
        <w:t xml:space="preserve"> Posledním stupněm je spektrální analyzátor (SA), který selektivně vybere modulovaný signál. </w:t>
      </w:r>
    </w:p>
    <w:p w:rsidR="00805C06" w:rsidRDefault="00805C06" w:rsidP="0008276C"/>
    <w:p w:rsidR="00805C06" w:rsidRPr="0008276C" w:rsidRDefault="00805C06" w:rsidP="0008276C">
      <w:r w:rsidRPr="00805C06">
        <w:rPr>
          <w:noProof/>
          <w:lang w:eastAsia="cs-CZ"/>
        </w:rPr>
        <w:drawing>
          <wp:inline distT="0" distB="0" distL="0" distR="0">
            <wp:extent cx="5760720" cy="2703277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76C" w:rsidRPr="0008276C" w:rsidRDefault="0008276C" w:rsidP="0008276C">
      <w:r w:rsidRPr="0008276C">
        <w:t xml:space="preserve">Obr. 1: Blokové uspořádání přístrojů pro měření numerické apertury. </w:t>
      </w:r>
    </w:p>
    <w:p w:rsidR="0008276C" w:rsidRPr="0008276C" w:rsidRDefault="0008276C" w:rsidP="0008276C">
      <w:pPr>
        <w:pStyle w:val="Nadpis1"/>
      </w:pPr>
      <w:r w:rsidRPr="0008276C">
        <w:t xml:space="preserve">Volba komponent a nastavení přístrojů </w:t>
      </w:r>
    </w:p>
    <w:p w:rsidR="0008276C" w:rsidRPr="00671C80" w:rsidRDefault="0008276C" w:rsidP="00671C80">
      <w:pPr>
        <w:pStyle w:val="Odstavecseseznamem"/>
        <w:numPr>
          <w:ilvl w:val="0"/>
          <w:numId w:val="18"/>
        </w:numPr>
        <w:rPr>
          <w:rFonts w:ascii="Arial" w:hAnsi="Arial" w:cs="Arial"/>
          <w:u w:val="single"/>
        </w:rPr>
      </w:pPr>
      <w:r w:rsidRPr="00671C80">
        <w:rPr>
          <w:u w:val="single"/>
        </w:rPr>
        <w:t xml:space="preserve">Měření křemenného </w:t>
      </w:r>
      <w:proofErr w:type="spellStart"/>
      <w:r w:rsidRPr="00671C80">
        <w:rPr>
          <w:u w:val="single"/>
        </w:rPr>
        <w:t>vícevidového</w:t>
      </w:r>
      <w:proofErr w:type="spellEnd"/>
      <w:r w:rsidRPr="00671C80">
        <w:rPr>
          <w:u w:val="single"/>
        </w:rPr>
        <w:t xml:space="preserve"> vlákna typu OM3 (50/125 </w:t>
      </w:r>
      <w:proofErr w:type="spellStart"/>
      <w:r w:rsidRPr="00671C80">
        <w:rPr>
          <w:u w:val="single"/>
        </w:rPr>
        <w:t>μm</w:t>
      </w:r>
      <w:proofErr w:type="spellEnd"/>
      <w:r w:rsidRPr="00671C80">
        <w:rPr>
          <w:u w:val="single"/>
        </w:rPr>
        <w:t xml:space="preserve">): </w:t>
      </w:r>
    </w:p>
    <w:p w:rsidR="0008276C" w:rsidRPr="0008276C" w:rsidRDefault="0008276C" w:rsidP="00671C80">
      <w:r w:rsidRPr="0008276C">
        <w:t xml:space="preserve">Buzení na 850 </w:t>
      </w:r>
      <w:proofErr w:type="spellStart"/>
      <w:r w:rsidRPr="0008276C">
        <w:t>nm</w:t>
      </w:r>
      <w:proofErr w:type="spellEnd"/>
      <w:r w:rsidRPr="0008276C">
        <w:t xml:space="preserve">, měřený kabel kvůli absenci přímého kabelu sestává ze dvou úseků s konektory LC-SC a SC-ST (oranžových), zesílení převodníku O/E nastaveno na 40 dB, referenční úroveň na SA kolem -50 </w:t>
      </w:r>
      <w:proofErr w:type="spellStart"/>
      <w:r w:rsidRPr="0008276C">
        <w:t>dBm</w:t>
      </w:r>
      <w:proofErr w:type="spellEnd"/>
      <w:r w:rsidRPr="0008276C">
        <w:t xml:space="preserve">. </w:t>
      </w:r>
    </w:p>
    <w:p w:rsidR="0008276C" w:rsidRPr="00671C80" w:rsidRDefault="0008276C" w:rsidP="00671C80">
      <w:pPr>
        <w:pStyle w:val="Odstavecseseznamem"/>
        <w:numPr>
          <w:ilvl w:val="0"/>
          <w:numId w:val="18"/>
        </w:numPr>
        <w:rPr>
          <w:rFonts w:ascii="Arial" w:hAnsi="Arial" w:cs="Arial"/>
          <w:u w:val="single"/>
        </w:rPr>
      </w:pPr>
      <w:r w:rsidRPr="00671C80">
        <w:rPr>
          <w:u w:val="single"/>
        </w:rPr>
        <w:lastRenderedPageBreak/>
        <w:t xml:space="preserve">Měření plastového </w:t>
      </w:r>
      <w:proofErr w:type="spellStart"/>
      <w:r w:rsidRPr="00671C80">
        <w:rPr>
          <w:u w:val="single"/>
        </w:rPr>
        <w:t>vícevidové</w:t>
      </w:r>
      <w:proofErr w:type="spellEnd"/>
      <w:r w:rsidRPr="00671C80">
        <w:rPr>
          <w:u w:val="single"/>
        </w:rPr>
        <w:t xml:space="preserve"> vlákna typu </w:t>
      </w:r>
      <w:proofErr w:type="spellStart"/>
      <w:r w:rsidRPr="00671C80">
        <w:rPr>
          <w:u w:val="single"/>
        </w:rPr>
        <w:t>Avago</w:t>
      </w:r>
      <w:proofErr w:type="spellEnd"/>
      <w:r w:rsidRPr="00671C80">
        <w:rPr>
          <w:u w:val="single"/>
        </w:rPr>
        <w:t xml:space="preserve"> HFBR-RUS100: </w:t>
      </w:r>
    </w:p>
    <w:p w:rsidR="0008276C" w:rsidRPr="0008276C" w:rsidRDefault="0008276C" w:rsidP="00671C80">
      <w:r w:rsidRPr="0008276C">
        <w:t xml:space="preserve">Buzení opět na 850 </w:t>
      </w:r>
      <w:proofErr w:type="spellStart"/>
      <w:r w:rsidRPr="0008276C">
        <w:t>nm</w:t>
      </w:r>
      <w:proofErr w:type="spellEnd"/>
      <w:r w:rsidRPr="0008276C">
        <w:t xml:space="preserve">, vlákno (s černou bužírkou) přidáme za vlákno z ad 1). Zdroj nevybudí tak velké jádro, pomůžeme si alespoň zařazením </w:t>
      </w:r>
      <w:proofErr w:type="gramStart"/>
      <w:r w:rsidRPr="0008276C">
        <w:t>dvou 1-metrových</w:t>
      </w:r>
      <w:proofErr w:type="gramEnd"/>
      <w:r w:rsidRPr="0008276C">
        <w:t xml:space="preserve"> úseků měřeného vlákna za sebou, i tak bude NA menší, než udává výrobce. </w:t>
      </w:r>
    </w:p>
    <w:p w:rsidR="0008276C" w:rsidRPr="00671C80" w:rsidRDefault="0008276C" w:rsidP="00671C80">
      <w:pPr>
        <w:pStyle w:val="Odstavecseseznamem"/>
        <w:numPr>
          <w:ilvl w:val="0"/>
          <w:numId w:val="18"/>
        </w:numPr>
        <w:rPr>
          <w:rFonts w:ascii="Arial" w:hAnsi="Arial" w:cs="Arial"/>
          <w:u w:val="single"/>
        </w:rPr>
      </w:pPr>
      <w:r w:rsidRPr="00671C80">
        <w:rPr>
          <w:u w:val="single"/>
        </w:rPr>
        <w:t xml:space="preserve">Měření </w:t>
      </w:r>
      <w:proofErr w:type="spellStart"/>
      <w:r w:rsidRPr="00671C80">
        <w:rPr>
          <w:u w:val="single"/>
        </w:rPr>
        <w:t>jednovidového</w:t>
      </w:r>
      <w:proofErr w:type="spellEnd"/>
      <w:r w:rsidRPr="00671C80">
        <w:rPr>
          <w:u w:val="single"/>
        </w:rPr>
        <w:t xml:space="preserve"> vlákna typu SMF-28: </w:t>
      </w:r>
    </w:p>
    <w:p w:rsidR="0008276C" w:rsidRPr="0008276C" w:rsidRDefault="0008276C" w:rsidP="00671C80">
      <w:r w:rsidRPr="0008276C">
        <w:t xml:space="preserve">Buzení na 1550 </w:t>
      </w:r>
      <w:proofErr w:type="spellStart"/>
      <w:r w:rsidRPr="0008276C">
        <w:t>nm</w:t>
      </w:r>
      <w:proofErr w:type="spellEnd"/>
      <w:r w:rsidRPr="0008276C">
        <w:t xml:space="preserve"> (druhá vývojová deska pro SFP), měřený kabel (žlutý) má konektory LC a ST, referenční úroveň SA kolem 0 </w:t>
      </w:r>
      <w:proofErr w:type="spellStart"/>
      <w:r w:rsidRPr="0008276C">
        <w:t>dBm</w:t>
      </w:r>
      <w:proofErr w:type="spellEnd"/>
      <w:r w:rsidRPr="0008276C">
        <w:t xml:space="preserve">. </w:t>
      </w:r>
    </w:p>
    <w:p w:rsidR="0008276C" w:rsidRPr="0008276C" w:rsidRDefault="0008276C" w:rsidP="0008276C">
      <w:pPr>
        <w:autoSpaceDE w:val="0"/>
        <w:autoSpaceDN w:val="0"/>
        <w:adjustRightInd w:val="0"/>
        <w:rPr>
          <w:rFonts w:cs="Times New Roman"/>
          <w:sz w:val="23"/>
          <w:szCs w:val="23"/>
        </w:rPr>
      </w:pPr>
    </w:p>
    <w:p w:rsidR="0008276C" w:rsidRPr="0008276C" w:rsidRDefault="0008276C" w:rsidP="00776121">
      <w:pPr>
        <w:pStyle w:val="Nadpis1"/>
      </w:pPr>
      <w:r w:rsidRPr="0008276C">
        <w:t xml:space="preserve">Zjištění úhlu </w:t>
      </w:r>
      <w:proofErr w:type="spellStart"/>
      <w:r w:rsidRPr="0008276C">
        <w:t>akceptance</w:t>
      </w:r>
      <w:proofErr w:type="spellEnd"/>
      <w:r w:rsidRPr="0008276C">
        <w:t xml:space="preserve"> ze změřené křivky </w:t>
      </w:r>
    </w:p>
    <w:p w:rsidR="0008276C" w:rsidRPr="0008276C" w:rsidRDefault="0008276C" w:rsidP="00776121">
      <w:r w:rsidRPr="0008276C">
        <w:t>Pro každé vlákno získáme křivku, jak klesá úroveň složky na 100 kHz při odklánění od osy. Úroveň nejprve normujeme na 0 dB v maximu. Pak křivku vystředíme podle úhlu 0</w:t>
      </w:r>
      <w:r w:rsidRPr="0008276C">
        <w:rPr>
          <w:position w:val="10"/>
          <w:vertAlign w:val="superscript"/>
        </w:rPr>
        <w:t>0</w:t>
      </w:r>
      <w:r w:rsidRPr="0008276C">
        <w:t xml:space="preserve">. Úhel </w:t>
      </w:r>
      <w:proofErr w:type="spellStart"/>
      <w:r w:rsidRPr="0008276C">
        <w:t>akceptance</w:t>
      </w:r>
      <w:proofErr w:type="spellEnd"/>
      <w:r w:rsidRPr="0008276C">
        <w:t xml:space="preserve"> (zjistíme jej zvlášť pro levou a zvlášť pro pravou část křivky a hodnoty zprůměrujeme) budeme odečítat pro pokles na 1/20 (tj. na 5%) výkonu vůči maximu. Otázkou je, jaký je to decibelový pokles na SA. K tomu slouží tato úvaha: </w:t>
      </w:r>
    </w:p>
    <w:p w:rsidR="0008276C" w:rsidRPr="0008276C" w:rsidRDefault="0008276C" w:rsidP="00776121">
      <w:r w:rsidRPr="0008276C">
        <w:t>Výstupní napětí O/E převodníku je úměrné vstupnímu optickému výkonu, proto výstupní napětí rovněž poklesne na 1/20. Výkon na svorkách SA proto poklesne na (1/20)</w:t>
      </w:r>
      <w:r w:rsidRPr="0008276C">
        <w:rPr>
          <w:position w:val="10"/>
          <w:vertAlign w:val="superscript"/>
        </w:rPr>
        <w:t>2</w:t>
      </w:r>
      <w:r w:rsidR="00671C80">
        <w:t>, tedy o</w:t>
      </w:r>
      <w:r w:rsidR="00671C80">
        <w:br/>
        <w:t>-1</w:t>
      </w:r>
      <w:r w:rsidRPr="0008276C">
        <w:t>0*log[(1/20)</w:t>
      </w:r>
      <w:r w:rsidRPr="0008276C">
        <w:rPr>
          <w:position w:val="10"/>
          <w:vertAlign w:val="superscript"/>
        </w:rPr>
        <w:t>2</w:t>
      </w:r>
      <w:r w:rsidRPr="0008276C">
        <w:t xml:space="preserve">]= 26 dB. </w:t>
      </w:r>
    </w:p>
    <w:p w:rsidR="0008276C" w:rsidRPr="0008276C" w:rsidRDefault="0008276C" w:rsidP="00776121">
      <w:r w:rsidRPr="0008276C">
        <w:t xml:space="preserve">Numerickou aperturu určíme podle </w:t>
      </w:r>
    </w:p>
    <w:p w:rsidR="0008276C" w:rsidRPr="0008276C" w:rsidRDefault="005E2000" w:rsidP="00776121">
      <w:r w:rsidRPr="005E2000">
        <w:rPr>
          <w:noProof/>
          <w:lang w:eastAsia="cs-CZ"/>
        </w:rPr>
        <w:drawing>
          <wp:inline distT="0" distB="0" distL="0" distR="0">
            <wp:extent cx="1701800" cy="3257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00">
        <w:t xml:space="preserve"> </w:t>
      </w:r>
      <w:r w:rsidR="0008276C" w:rsidRPr="0008276C">
        <w:t xml:space="preserve">(1) </w:t>
      </w:r>
    </w:p>
    <w:p w:rsidR="0008276C" w:rsidRPr="0008276C" w:rsidRDefault="0008276C" w:rsidP="00776121">
      <w:pPr>
        <w:pStyle w:val="Nadpis1"/>
      </w:pPr>
      <w:r w:rsidRPr="0008276C">
        <w:t xml:space="preserve">Určení šířky Gaussova svazku </w:t>
      </w:r>
    </w:p>
    <w:p w:rsidR="0008276C" w:rsidRPr="0008276C" w:rsidRDefault="0008276C" w:rsidP="00776121">
      <w:r w:rsidRPr="0008276C">
        <w:t xml:space="preserve">Vlnu z konce </w:t>
      </w:r>
      <w:proofErr w:type="spellStart"/>
      <w:r w:rsidRPr="0008276C">
        <w:t>jednovidového</w:t>
      </w:r>
      <w:proofErr w:type="spellEnd"/>
      <w:r w:rsidRPr="0008276C">
        <w:t xml:space="preserve"> vlákna lze výborně aproximovat Gaussovým svazkem. Intenzita svazku je v určité vzdálenosti </w:t>
      </w:r>
      <w:r w:rsidRPr="0008276C">
        <w:rPr>
          <w:i/>
          <w:iCs/>
        </w:rPr>
        <w:t xml:space="preserve">z </w:t>
      </w:r>
      <w:r w:rsidRPr="0008276C">
        <w:t xml:space="preserve">od počátku svazku popsána v příčné rovině jako funkce vzdálenosti </w:t>
      </w:r>
      <w:r w:rsidRPr="0008276C">
        <w:rPr>
          <w:i/>
          <w:iCs/>
        </w:rPr>
        <w:t xml:space="preserve">r </w:t>
      </w:r>
      <w:r w:rsidRPr="0008276C">
        <w:t xml:space="preserve">od osy takto </w:t>
      </w:r>
    </w:p>
    <w:p w:rsidR="0008276C" w:rsidRPr="0008276C" w:rsidRDefault="005E2000" w:rsidP="00776121">
      <w:bookmarkStart w:id="0" w:name="_GoBack"/>
      <w:bookmarkEnd w:id="0"/>
      <w:r w:rsidRPr="005E2000">
        <w:rPr>
          <w:noProof/>
          <w:sz w:val="14"/>
          <w:szCs w:val="14"/>
          <w:lang w:eastAsia="cs-CZ"/>
        </w:rPr>
        <w:drawing>
          <wp:inline distT="0" distB="0" distL="0" distR="0">
            <wp:extent cx="1701800" cy="59626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00">
        <w:rPr>
          <w:sz w:val="14"/>
          <w:szCs w:val="14"/>
        </w:rPr>
        <w:t xml:space="preserve"> </w:t>
      </w:r>
      <w:r w:rsidR="0008276C" w:rsidRPr="0008276C">
        <w:t xml:space="preserve">(2) </w:t>
      </w:r>
    </w:p>
    <w:p w:rsidR="0008276C" w:rsidRPr="0008276C" w:rsidRDefault="0008276C" w:rsidP="00776121">
      <w:proofErr w:type="gramStart"/>
      <w:r w:rsidRPr="0008276C">
        <w:t xml:space="preserve">kde </w:t>
      </w:r>
      <w:r w:rsidRPr="0008276C">
        <w:rPr>
          <w:i/>
          <w:iCs/>
        </w:rPr>
        <w:t xml:space="preserve">w(z) </w:t>
      </w:r>
      <w:r w:rsidRPr="0008276C">
        <w:t>je</w:t>
      </w:r>
      <w:proofErr w:type="gramEnd"/>
      <w:r w:rsidRPr="0008276C">
        <w:t xml:space="preserve"> šířka svazku. </w:t>
      </w:r>
    </w:p>
    <w:p w:rsidR="0008276C" w:rsidRPr="0008276C" w:rsidRDefault="0008276C" w:rsidP="00776121">
      <w:r w:rsidRPr="0008276C">
        <w:t xml:space="preserve">Pokud znáte vzdálenost mezi čely konektorů </w:t>
      </w:r>
      <w:r w:rsidRPr="0008276C">
        <w:rPr>
          <w:u w:val="single"/>
        </w:rPr>
        <w:t>(změřte ji</w:t>
      </w:r>
      <w:r w:rsidRPr="0008276C">
        <w:t xml:space="preserve">), pak dokážete přepočítat úhel odklonu na vzdálenost </w:t>
      </w:r>
      <w:r w:rsidRPr="0008276C">
        <w:rPr>
          <w:i/>
          <w:iCs/>
        </w:rPr>
        <w:t xml:space="preserve">r </w:t>
      </w:r>
      <w:r w:rsidRPr="0008276C">
        <w:t xml:space="preserve">a získat šířku </w:t>
      </w:r>
      <w:proofErr w:type="gramStart"/>
      <w:r w:rsidRPr="0008276C">
        <w:t xml:space="preserve">svazku </w:t>
      </w:r>
      <w:r w:rsidRPr="0008276C">
        <w:rPr>
          <w:i/>
          <w:iCs/>
        </w:rPr>
        <w:t xml:space="preserve">w(z) </w:t>
      </w:r>
      <w:r w:rsidRPr="0008276C">
        <w:t>proložením</w:t>
      </w:r>
      <w:proofErr w:type="gramEnd"/>
      <w:r w:rsidRPr="0008276C">
        <w:t xml:space="preserve"> např. v Excelu či </w:t>
      </w:r>
      <w:proofErr w:type="spellStart"/>
      <w:r w:rsidRPr="0008276C">
        <w:t>MathCadu</w:t>
      </w:r>
      <w:proofErr w:type="spellEnd"/>
      <w:r w:rsidRPr="0008276C">
        <w:t xml:space="preserve">. </w:t>
      </w:r>
    </w:p>
    <w:p w:rsidR="0008276C" w:rsidRPr="0008276C" w:rsidRDefault="0008276C" w:rsidP="00776121">
      <w:pPr>
        <w:pStyle w:val="Nadpis1"/>
      </w:pPr>
      <w:r w:rsidRPr="0008276C">
        <w:t xml:space="preserve">Použité přístroje </w:t>
      </w:r>
    </w:p>
    <w:p w:rsidR="0008276C" w:rsidRDefault="0008276C" w:rsidP="00776121">
      <w:pPr>
        <w:rPr>
          <w:color w:val="000000"/>
          <w:szCs w:val="24"/>
        </w:rPr>
      </w:pPr>
      <w:r w:rsidRPr="0008276C">
        <w:t xml:space="preserve">Generátor funkcí Motech FG 503, laboratorní zdroj, vývojové desky </w:t>
      </w:r>
      <w:proofErr w:type="spellStart"/>
      <w:r w:rsidRPr="0008276C">
        <w:t>Finisar</w:t>
      </w:r>
      <w:proofErr w:type="spellEnd"/>
      <w:r w:rsidRPr="0008276C">
        <w:t xml:space="preserve"> FDB-1027 pro modul SFP na 850 </w:t>
      </w:r>
      <w:proofErr w:type="spellStart"/>
      <w:r w:rsidRPr="0008276C">
        <w:t>nm</w:t>
      </w:r>
      <w:proofErr w:type="spellEnd"/>
      <w:r w:rsidRPr="0008276C">
        <w:t xml:space="preserve"> (</w:t>
      </w:r>
      <w:proofErr w:type="spellStart"/>
      <w:r w:rsidRPr="0008276C">
        <w:t>vícevidový</w:t>
      </w:r>
      <w:proofErr w:type="spellEnd"/>
      <w:r w:rsidRPr="0008276C">
        <w:t xml:space="preserve">) a 1550 </w:t>
      </w:r>
      <w:proofErr w:type="spellStart"/>
      <w:r w:rsidRPr="0008276C">
        <w:t>nm</w:t>
      </w:r>
      <w:proofErr w:type="spellEnd"/>
      <w:r w:rsidRPr="0008276C">
        <w:t xml:space="preserve"> (</w:t>
      </w:r>
      <w:proofErr w:type="spellStart"/>
      <w:r w:rsidRPr="0008276C">
        <w:t>jednovidový</w:t>
      </w:r>
      <w:proofErr w:type="spellEnd"/>
      <w:r w:rsidRPr="0008276C">
        <w:t xml:space="preserve">), otočný stolek </w:t>
      </w:r>
      <w:proofErr w:type="spellStart"/>
      <w:r w:rsidRPr="0008276C">
        <w:t>Thorlabs</w:t>
      </w:r>
      <w:proofErr w:type="spellEnd"/>
      <w:r w:rsidRPr="0008276C">
        <w:t xml:space="preserve"> XYR1, příruby </w:t>
      </w:r>
      <w:proofErr w:type="spellStart"/>
      <w:r w:rsidRPr="0008276C">
        <w:t>Thorlabs</w:t>
      </w:r>
      <w:proofErr w:type="spellEnd"/>
      <w:r w:rsidRPr="0008276C">
        <w:t xml:space="preserve"> SM1ST a související úchyty LMR1 a sloupky TRT2 a TR30/M, experimentální deska </w:t>
      </w:r>
      <w:proofErr w:type="spellStart"/>
      <w:r w:rsidRPr="0008276C">
        <w:t>Throlabs</w:t>
      </w:r>
      <w:proofErr w:type="spellEnd"/>
      <w:r w:rsidRPr="0008276C">
        <w:t xml:space="preserve"> MB4560/M, optoelektronický převodník </w:t>
      </w:r>
      <w:proofErr w:type="spellStart"/>
      <w:r w:rsidRPr="0008276C">
        <w:t>Thorlabs</w:t>
      </w:r>
      <w:proofErr w:type="spellEnd"/>
      <w:r w:rsidRPr="0008276C">
        <w:t xml:space="preserve"> PDA10CS se zdrojem, spektrální analyzátor </w:t>
      </w:r>
      <w:proofErr w:type="spellStart"/>
      <w:r w:rsidRPr="0008276C">
        <w:t>Advantest</w:t>
      </w:r>
      <w:proofErr w:type="spellEnd"/>
      <w:r w:rsidRPr="0008276C">
        <w:t xml:space="preserve"> R3131A, měřená vlákna, vlákno s jádrem 600μm </w:t>
      </w:r>
      <w:proofErr w:type="spellStart"/>
      <w:r w:rsidRPr="0008276C">
        <w:t>OceanOptics</w:t>
      </w:r>
      <w:proofErr w:type="spellEnd"/>
      <w:r w:rsidRPr="0008276C">
        <w:t xml:space="preserve"> QP600-2-VIS-BX s konektory SMA, koaxiální kabely. </w:t>
      </w:r>
      <w:r>
        <w:rPr>
          <w:color w:val="000000"/>
          <w:szCs w:val="24"/>
        </w:rPr>
        <w:br w:type="page"/>
      </w:r>
    </w:p>
    <w:p w:rsidR="0010438E" w:rsidRPr="00D2581A" w:rsidRDefault="001F2FD1" w:rsidP="0037539F">
      <w:pPr>
        <w:pStyle w:val="Nadpis1"/>
      </w:pPr>
      <w:r w:rsidRPr="00DE1EA7">
        <w:lastRenderedPageBreak/>
        <w:t>Řešení</w:t>
      </w:r>
    </w:p>
    <w:p w:rsidR="00B95998" w:rsidRDefault="00B95998">
      <w:pPr>
        <w:spacing w:after="160" w:line="259" w:lineRule="auto"/>
        <w:rPr>
          <w:rFonts w:eastAsiaTheme="majorEastAsia" w:cs="Times New Roman"/>
          <w:b/>
          <w:sz w:val="44"/>
          <w:szCs w:val="32"/>
        </w:rPr>
      </w:pPr>
      <w:r>
        <w:rPr>
          <w:rFonts w:cs="Times New Roman"/>
        </w:rPr>
        <w:br w:type="page"/>
      </w: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Závěr</w:t>
      </w:r>
    </w:p>
    <w:sectPr w:rsidR="00C87B27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DC7" w:rsidRDefault="00BB3DC7" w:rsidP="003E45C3">
      <w:r>
        <w:separator/>
      </w:r>
    </w:p>
  </w:endnote>
  <w:endnote w:type="continuationSeparator" w:id="0">
    <w:p w:rsidR="00BB3DC7" w:rsidRDefault="00BB3DC7" w:rsidP="003E45C3">
      <w:r>
        <w:continuationSeparator/>
      </w:r>
    </w:p>
  </w:endnote>
  <w:endnote w:type="continuationNotice" w:id="1">
    <w:p w:rsidR="00BB3DC7" w:rsidRDefault="00BB3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DC7" w:rsidRDefault="00BB3DC7" w:rsidP="003E45C3">
      <w:r>
        <w:separator/>
      </w:r>
    </w:p>
  </w:footnote>
  <w:footnote w:type="continuationSeparator" w:id="0">
    <w:p w:rsidR="00BB3DC7" w:rsidRDefault="00BB3DC7" w:rsidP="003E45C3">
      <w:r>
        <w:continuationSeparator/>
      </w:r>
    </w:p>
  </w:footnote>
  <w:footnote w:type="continuationNotice" w:id="1">
    <w:p w:rsidR="00BB3DC7" w:rsidRDefault="00BB3D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53DD6"/>
    <w:multiLevelType w:val="hybridMultilevel"/>
    <w:tmpl w:val="AD3C4ABC"/>
    <w:lvl w:ilvl="0" w:tplc="7A0A4D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63F69"/>
    <w:multiLevelType w:val="hybridMultilevel"/>
    <w:tmpl w:val="EED868E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3"/>
  </w:num>
  <w:num w:numId="8">
    <w:abstractNumId w:val="17"/>
  </w:num>
  <w:num w:numId="9">
    <w:abstractNumId w:val="16"/>
  </w:num>
  <w:num w:numId="10">
    <w:abstractNumId w:val="11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  <w:num w:numId="15">
    <w:abstractNumId w:val="0"/>
  </w:num>
  <w:num w:numId="16">
    <w:abstractNumId w:val="7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661C4"/>
    <w:rsid w:val="00070406"/>
    <w:rsid w:val="0008276C"/>
    <w:rsid w:val="0010438E"/>
    <w:rsid w:val="00104DE4"/>
    <w:rsid w:val="001427BF"/>
    <w:rsid w:val="001503D7"/>
    <w:rsid w:val="00180F8B"/>
    <w:rsid w:val="0018529A"/>
    <w:rsid w:val="001B6B16"/>
    <w:rsid w:val="001B707E"/>
    <w:rsid w:val="001B7E3A"/>
    <w:rsid w:val="001D1597"/>
    <w:rsid w:val="001F0D42"/>
    <w:rsid w:val="001F2FD1"/>
    <w:rsid w:val="00233E6F"/>
    <w:rsid w:val="00271EC5"/>
    <w:rsid w:val="0028354C"/>
    <w:rsid w:val="00292643"/>
    <w:rsid w:val="002C4460"/>
    <w:rsid w:val="002C57C4"/>
    <w:rsid w:val="002E622C"/>
    <w:rsid w:val="002F6036"/>
    <w:rsid w:val="003114A7"/>
    <w:rsid w:val="00317E15"/>
    <w:rsid w:val="003207AF"/>
    <w:rsid w:val="00342C5A"/>
    <w:rsid w:val="00371691"/>
    <w:rsid w:val="003738B1"/>
    <w:rsid w:val="00373930"/>
    <w:rsid w:val="0037539F"/>
    <w:rsid w:val="00375DC9"/>
    <w:rsid w:val="00387E86"/>
    <w:rsid w:val="00395A58"/>
    <w:rsid w:val="003A72F2"/>
    <w:rsid w:val="003B6982"/>
    <w:rsid w:val="003D2ECC"/>
    <w:rsid w:val="003E45C3"/>
    <w:rsid w:val="004408EC"/>
    <w:rsid w:val="00481014"/>
    <w:rsid w:val="00495E06"/>
    <w:rsid w:val="00495FED"/>
    <w:rsid w:val="004A3CE7"/>
    <w:rsid w:val="004B4B4B"/>
    <w:rsid w:val="004C1850"/>
    <w:rsid w:val="004E4118"/>
    <w:rsid w:val="004F2881"/>
    <w:rsid w:val="0051248B"/>
    <w:rsid w:val="00517BFA"/>
    <w:rsid w:val="00522F05"/>
    <w:rsid w:val="005507E7"/>
    <w:rsid w:val="00557FA1"/>
    <w:rsid w:val="00564255"/>
    <w:rsid w:val="005E2000"/>
    <w:rsid w:val="006049B8"/>
    <w:rsid w:val="00645B95"/>
    <w:rsid w:val="00671C80"/>
    <w:rsid w:val="00676073"/>
    <w:rsid w:val="006B29E6"/>
    <w:rsid w:val="006E5294"/>
    <w:rsid w:val="006F6B78"/>
    <w:rsid w:val="007067AA"/>
    <w:rsid w:val="007112BB"/>
    <w:rsid w:val="00720868"/>
    <w:rsid w:val="00720F31"/>
    <w:rsid w:val="00776121"/>
    <w:rsid w:val="00785BEB"/>
    <w:rsid w:val="007D6AFF"/>
    <w:rsid w:val="00805C06"/>
    <w:rsid w:val="00856871"/>
    <w:rsid w:val="00862303"/>
    <w:rsid w:val="00873415"/>
    <w:rsid w:val="008823E8"/>
    <w:rsid w:val="00897752"/>
    <w:rsid w:val="008A2A24"/>
    <w:rsid w:val="008A372A"/>
    <w:rsid w:val="008A5329"/>
    <w:rsid w:val="008B541B"/>
    <w:rsid w:val="008C0EE8"/>
    <w:rsid w:val="008D3826"/>
    <w:rsid w:val="008D7D65"/>
    <w:rsid w:val="008D7F1D"/>
    <w:rsid w:val="0090517D"/>
    <w:rsid w:val="00910430"/>
    <w:rsid w:val="00916541"/>
    <w:rsid w:val="00925801"/>
    <w:rsid w:val="00960E9E"/>
    <w:rsid w:val="00985DBA"/>
    <w:rsid w:val="009876F3"/>
    <w:rsid w:val="009A6E9B"/>
    <w:rsid w:val="009F4459"/>
    <w:rsid w:val="00A73C28"/>
    <w:rsid w:val="00A82CB1"/>
    <w:rsid w:val="00A91969"/>
    <w:rsid w:val="00AA621D"/>
    <w:rsid w:val="00B11455"/>
    <w:rsid w:val="00B3645B"/>
    <w:rsid w:val="00B50BBF"/>
    <w:rsid w:val="00B72ADF"/>
    <w:rsid w:val="00B84903"/>
    <w:rsid w:val="00B940DB"/>
    <w:rsid w:val="00B95998"/>
    <w:rsid w:val="00BB3DC7"/>
    <w:rsid w:val="00BC41EC"/>
    <w:rsid w:val="00BD15A5"/>
    <w:rsid w:val="00C335DD"/>
    <w:rsid w:val="00C45CC2"/>
    <w:rsid w:val="00C5298B"/>
    <w:rsid w:val="00C66D71"/>
    <w:rsid w:val="00C733EE"/>
    <w:rsid w:val="00C87B27"/>
    <w:rsid w:val="00CA4945"/>
    <w:rsid w:val="00CC3307"/>
    <w:rsid w:val="00CC7026"/>
    <w:rsid w:val="00CF5612"/>
    <w:rsid w:val="00CF6ECB"/>
    <w:rsid w:val="00D0131B"/>
    <w:rsid w:val="00D1684B"/>
    <w:rsid w:val="00D20E64"/>
    <w:rsid w:val="00D2581A"/>
    <w:rsid w:val="00D65E90"/>
    <w:rsid w:val="00DA64D2"/>
    <w:rsid w:val="00DE1EA7"/>
    <w:rsid w:val="00E361C3"/>
    <w:rsid w:val="00E4381D"/>
    <w:rsid w:val="00E80AC4"/>
    <w:rsid w:val="00E8130F"/>
    <w:rsid w:val="00E819FA"/>
    <w:rsid w:val="00E82CA0"/>
    <w:rsid w:val="00EA3FFB"/>
    <w:rsid w:val="00EB0578"/>
    <w:rsid w:val="00EB4A2E"/>
    <w:rsid w:val="00F40045"/>
    <w:rsid w:val="00F614FE"/>
    <w:rsid w:val="00F9176C"/>
    <w:rsid w:val="00F92BF7"/>
    <w:rsid w:val="00FA598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A07F496-7610-407F-9C2F-F9DFD912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572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34</cp:revision>
  <cp:lastPrinted>2015-10-29T08:27:00Z</cp:lastPrinted>
  <dcterms:created xsi:type="dcterms:W3CDTF">2015-10-13T07:56:00Z</dcterms:created>
  <dcterms:modified xsi:type="dcterms:W3CDTF">2015-10-29T10:14:00Z</dcterms:modified>
</cp:coreProperties>
</file>