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9E" w:rsidRPr="00960E9E" w:rsidRDefault="00960E9E" w:rsidP="00960E9E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5E6313" w:rsidRPr="005E6313" w:rsidRDefault="00960E9E" w:rsidP="005E6313">
      <w:pPr>
        <w:pStyle w:val="Default"/>
        <w:rPr>
          <w:rFonts w:ascii="Arial" w:hAnsi="Arial" w:cs="Arial"/>
        </w:rPr>
      </w:pPr>
      <w:r w:rsidRPr="00960E9E">
        <w:rPr>
          <w:rFonts w:ascii="Arial" w:hAnsi="Arial" w:cs="Arial"/>
        </w:rPr>
        <w:t xml:space="preserve"> </w:t>
      </w:r>
    </w:p>
    <w:p w:rsidR="00C5298B" w:rsidRPr="005E6313" w:rsidRDefault="005E6313" w:rsidP="005E6313">
      <w:pPr>
        <w:pStyle w:val="Default"/>
        <w:spacing w:before="5040" w:after="50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313">
        <w:rPr>
          <w:rFonts w:ascii="Arial" w:hAnsi="Arial" w:cs="Arial"/>
          <w:b/>
          <w:bCs/>
          <w:sz w:val="72"/>
          <w:szCs w:val="72"/>
        </w:rPr>
        <w:t>Měření chromatické disperze</w:t>
      </w:r>
      <w:r w:rsidR="00960E9E" w:rsidRPr="005E6313">
        <w:rPr>
          <w:rFonts w:ascii="Arial" w:hAnsi="Arial" w:cs="Arial"/>
          <w:b/>
          <w:bCs/>
          <w:sz w:val="72"/>
          <w:szCs w:val="72"/>
        </w:rPr>
        <w:t xml:space="preserve"> 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CC1457" w:rsidRDefault="00CC1457" w:rsidP="00CC1457">
      <w:pPr>
        <w:pStyle w:val="Default"/>
      </w:pPr>
    </w:p>
    <w:p w:rsidR="00A42DA0" w:rsidRPr="001C14A0" w:rsidRDefault="00A42DA0" w:rsidP="00684159">
      <w:pPr>
        <w:pStyle w:val="Nadpis1"/>
      </w:pPr>
      <w:r w:rsidRPr="001C14A0">
        <w:t xml:space="preserve">Úkoly měření </w:t>
      </w:r>
    </w:p>
    <w:p w:rsidR="00A42DA0" w:rsidRPr="001C14A0" w:rsidRDefault="00A42DA0" w:rsidP="003A4F6F">
      <w:pPr>
        <w:rPr>
          <w:rFonts w:cs="Times New Roman"/>
          <w:sz w:val="23"/>
          <w:szCs w:val="23"/>
        </w:rPr>
      </w:pPr>
      <w:r w:rsidRPr="001C14A0">
        <w:rPr>
          <w:sz w:val="23"/>
          <w:szCs w:val="23"/>
        </w:rPr>
        <w:t xml:space="preserve">• </w:t>
      </w:r>
      <w:r w:rsidRPr="001C14A0">
        <w:rPr>
          <w:rFonts w:cs="Times New Roman"/>
          <w:sz w:val="23"/>
          <w:szCs w:val="23"/>
        </w:rPr>
        <w:t xml:space="preserve">Seznámit se s metodou určení chromatické disperze </w:t>
      </w:r>
      <w:proofErr w:type="spellStart"/>
      <w:r w:rsidRPr="001C14A0">
        <w:rPr>
          <w:rFonts w:cs="Times New Roman"/>
          <w:sz w:val="23"/>
          <w:szCs w:val="23"/>
        </w:rPr>
        <w:t>jednovidového</w:t>
      </w:r>
      <w:proofErr w:type="spellEnd"/>
      <w:r w:rsidRPr="001C14A0">
        <w:rPr>
          <w:rFonts w:cs="Times New Roman"/>
          <w:sz w:val="23"/>
          <w:szCs w:val="23"/>
        </w:rPr>
        <w:t xml:space="preserve"> vlákna pomocí měření změny doby šíření obdélníkových pulzů. </w:t>
      </w:r>
    </w:p>
    <w:p w:rsidR="00A42DA0" w:rsidRPr="001C14A0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 xml:space="preserve">• S využitím 3 párů laserů určit koeficient chromatické disperze vlákna SMF-28 v telekomunikačních oknech II. (uprostřed) a III. (na obou krajích). </w:t>
      </w:r>
    </w:p>
    <w:p w:rsidR="00A42DA0" w:rsidRPr="001C14A0" w:rsidRDefault="00A42DA0" w:rsidP="00684159">
      <w:pPr>
        <w:pStyle w:val="Nadpis1"/>
      </w:pPr>
      <w:r w:rsidRPr="001C14A0">
        <w:t xml:space="preserve">Teoretický úvod </w:t>
      </w:r>
    </w:p>
    <w:p w:rsidR="00A42DA0" w:rsidRPr="001C14A0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 xml:space="preserve">Ke stanovení chromatické disperze využijeme faktu, že koeficient chromatické disperze </w:t>
      </w:r>
      <w:r w:rsidRPr="001C14A0">
        <w:rPr>
          <w:rFonts w:cs="Times New Roman"/>
          <w:i/>
          <w:iCs/>
          <w:sz w:val="23"/>
          <w:szCs w:val="23"/>
        </w:rPr>
        <w:t>D</w:t>
      </w:r>
      <w:r w:rsidRPr="001C14A0"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ch </w:t>
      </w:r>
      <w:r w:rsidRPr="001C14A0">
        <w:rPr>
          <w:rFonts w:cs="Times New Roman"/>
          <w:sz w:val="23"/>
          <w:szCs w:val="23"/>
        </w:rPr>
        <w:t>vyjadřuje, jak se změní skupinové zpoždění signálu τ</w:t>
      </w:r>
      <w:r w:rsidRPr="001C14A0"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g </w:t>
      </w:r>
      <w:r w:rsidRPr="001C14A0">
        <w:rPr>
          <w:rFonts w:cs="Times New Roman"/>
          <w:sz w:val="23"/>
          <w:szCs w:val="23"/>
        </w:rPr>
        <w:t xml:space="preserve">(na jednotku délky vlákna) při změně vlnové délky měřicího signálu λ, tj. </w:t>
      </w:r>
    </w:p>
    <w:p w:rsidR="00A42DA0" w:rsidRPr="001C14A0" w:rsidRDefault="00F34BB9" w:rsidP="003A4F6F">
      <w:pPr>
        <w:rPr>
          <w:rFonts w:cs="Times New Roman"/>
          <w:sz w:val="23"/>
          <w:szCs w:val="23"/>
        </w:rPr>
      </w:pPr>
      <w:r w:rsidRPr="00F34BB9">
        <w:rPr>
          <w:rFonts w:cs="Times New Roman"/>
          <w:noProof/>
          <w:sz w:val="23"/>
          <w:szCs w:val="23"/>
          <w:lang w:eastAsia="ja-JP"/>
        </w:rPr>
        <w:drawing>
          <wp:inline distT="0" distB="0" distL="0" distR="0">
            <wp:extent cx="1637414" cy="422068"/>
            <wp:effectExtent l="0" t="0" r="127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270" cy="43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886">
        <w:rPr>
          <w:rFonts w:cs="Times New Roman"/>
          <w:sz w:val="23"/>
          <w:szCs w:val="23"/>
        </w:rPr>
        <w:t>.</w:t>
      </w:r>
      <w:r w:rsidRPr="00F34BB9">
        <w:rPr>
          <w:rFonts w:cs="Times New Roman"/>
          <w:sz w:val="23"/>
          <w:szCs w:val="23"/>
        </w:rPr>
        <w:t xml:space="preserve"> </w:t>
      </w:r>
      <w:r w:rsidR="00A42DA0" w:rsidRPr="001C14A0">
        <w:rPr>
          <w:rFonts w:cs="Times New Roman"/>
          <w:sz w:val="23"/>
          <w:szCs w:val="23"/>
        </w:rPr>
        <w:t xml:space="preserve">(1) </w:t>
      </w:r>
    </w:p>
    <w:p w:rsidR="00A42DA0" w:rsidRPr="001C14A0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 xml:space="preserve">V našem případě použijeme obdélníkový signál. Bude nás zajímat, jak se změní časový posuv mezi signálem do vlákna vstupujícím a z vlákna vystupujícím (tedy doba šíření) po přepnutí na jinou, avšak blízkou vlnovou délku (druhý laser v páru). Pokud v (1) nahradíme derivaci diferencí, lze koeficient chromatické disperze vyčíslit podle [1] jako </w:t>
      </w:r>
    </w:p>
    <w:p w:rsidR="00A42DA0" w:rsidRPr="001C14A0" w:rsidRDefault="003C6886" w:rsidP="003A4F6F">
      <w:pPr>
        <w:rPr>
          <w:rFonts w:cs="Times New Roman"/>
          <w:sz w:val="23"/>
          <w:szCs w:val="23"/>
        </w:rPr>
      </w:pPr>
      <w:r w:rsidRPr="003C6886">
        <w:rPr>
          <w:rFonts w:cs="Times New Roman"/>
          <w:noProof/>
          <w:sz w:val="23"/>
          <w:szCs w:val="23"/>
          <w:lang w:eastAsia="ja-JP"/>
        </w:rPr>
        <w:drawing>
          <wp:inline distT="0" distB="0" distL="0" distR="0">
            <wp:extent cx="1041991" cy="490651"/>
            <wp:effectExtent l="0" t="0" r="6350" b="508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95" cy="49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886"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>,</w:t>
      </w:r>
      <w:r w:rsidR="00A42DA0" w:rsidRPr="001C14A0">
        <w:rPr>
          <w:rFonts w:cs="Times New Roman"/>
          <w:sz w:val="23"/>
          <w:szCs w:val="23"/>
        </w:rPr>
        <w:t xml:space="preserve">(2) </w:t>
      </w:r>
    </w:p>
    <w:p w:rsidR="00A42DA0" w:rsidRPr="001C14A0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 xml:space="preserve">kde </w:t>
      </w:r>
      <w:proofErr w:type="spellStart"/>
      <w:r w:rsidRPr="001C14A0">
        <w:rPr>
          <w:rFonts w:cs="Times New Roman"/>
          <w:sz w:val="23"/>
          <w:szCs w:val="23"/>
        </w:rPr>
        <w:t>Δτ</w:t>
      </w:r>
      <w:proofErr w:type="spellEnd"/>
      <w:r w:rsidRPr="001C14A0"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g </w:t>
      </w:r>
      <w:r w:rsidRPr="001C14A0">
        <w:rPr>
          <w:rFonts w:cs="Times New Roman"/>
          <w:sz w:val="23"/>
          <w:szCs w:val="23"/>
        </w:rPr>
        <w:t xml:space="preserve">je změna časového posuvu mezi signály, </w:t>
      </w:r>
      <w:r w:rsidRPr="001C14A0">
        <w:rPr>
          <w:rFonts w:cs="Times New Roman"/>
          <w:i/>
          <w:iCs/>
          <w:sz w:val="23"/>
          <w:szCs w:val="23"/>
        </w:rPr>
        <w:t xml:space="preserve">L </w:t>
      </w:r>
      <w:r w:rsidRPr="001C14A0">
        <w:rPr>
          <w:rFonts w:cs="Times New Roman"/>
          <w:sz w:val="23"/>
          <w:szCs w:val="23"/>
        </w:rPr>
        <w:t xml:space="preserve">délka vlákna a </w:t>
      </w:r>
      <w:proofErr w:type="spellStart"/>
      <w:r w:rsidRPr="001C14A0">
        <w:rPr>
          <w:rFonts w:cs="Times New Roman"/>
          <w:sz w:val="23"/>
          <w:szCs w:val="23"/>
        </w:rPr>
        <w:t>Δλ</w:t>
      </w:r>
      <w:proofErr w:type="spellEnd"/>
      <w:r w:rsidRPr="001C14A0">
        <w:rPr>
          <w:rFonts w:cs="Times New Roman"/>
          <w:sz w:val="23"/>
          <w:szCs w:val="23"/>
        </w:rPr>
        <w:t xml:space="preserve"> změna vlnové délky. </w:t>
      </w:r>
    </w:p>
    <w:p w:rsidR="00A42DA0" w:rsidRPr="001C14A0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 xml:space="preserve">Pro standardní vlákno SMF-28 platí dle výrobce [2] pro rozsah 1200 ÷1600 </w:t>
      </w:r>
      <w:proofErr w:type="spellStart"/>
      <w:r w:rsidRPr="001C14A0">
        <w:rPr>
          <w:rFonts w:cs="Times New Roman"/>
          <w:sz w:val="23"/>
          <w:szCs w:val="23"/>
        </w:rPr>
        <w:t>nm</w:t>
      </w:r>
      <w:proofErr w:type="spellEnd"/>
      <w:r w:rsidRPr="001C14A0">
        <w:rPr>
          <w:rFonts w:cs="Times New Roman"/>
          <w:sz w:val="23"/>
          <w:szCs w:val="23"/>
        </w:rPr>
        <w:t xml:space="preserve"> aproximace </w:t>
      </w:r>
    </w:p>
    <w:p w:rsidR="00A42DA0" w:rsidRPr="001C14A0" w:rsidRDefault="003C6886" w:rsidP="003A4F6F">
      <w:pPr>
        <w:rPr>
          <w:rFonts w:cs="Times New Roman"/>
          <w:sz w:val="23"/>
          <w:szCs w:val="23"/>
        </w:rPr>
      </w:pPr>
      <w:r w:rsidRPr="003C6886">
        <w:rPr>
          <w:rFonts w:cs="Times New Roman"/>
          <w:noProof/>
          <w:sz w:val="31"/>
          <w:szCs w:val="31"/>
          <w:lang w:eastAsia="ja-JP"/>
        </w:rPr>
        <w:drawing>
          <wp:inline distT="0" distB="0" distL="0" distR="0">
            <wp:extent cx="2317898" cy="485132"/>
            <wp:effectExtent l="0" t="0" r="635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825" cy="49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DA0" w:rsidRPr="001C14A0">
        <w:rPr>
          <w:rFonts w:cs="Times New Roman"/>
          <w:sz w:val="23"/>
          <w:szCs w:val="23"/>
        </w:rPr>
        <w:t xml:space="preserve">, (3) </w:t>
      </w:r>
    </w:p>
    <w:p w:rsidR="00601942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>kde λ</w:t>
      </w:r>
      <w:r w:rsidRPr="001C14A0"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0 </w:t>
      </w:r>
      <w:r w:rsidRPr="001C14A0">
        <w:rPr>
          <w:rFonts w:cs="Times New Roman"/>
          <w:sz w:val="23"/>
          <w:szCs w:val="23"/>
        </w:rPr>
        <w:t xml:space="preserve">je vlnová délka nulové disperze (1302 </w:t>
      </w:r>
      <w:proofErr w:type="spellStart"/>
      <w:r w:rsidRPr="001C14A0">
        <w:rPr>
          <w:rFonts w:cs="Times New Roman"/>
          <w:sz w:val="23"/>
          <w:szCs w:val="23"/>
        </w:rPr>
        <w:t>nm</w:t>
      </w:r>
      <w:proofErr w:type="spellEnd"/>
      <w:r w:rsidRPr="001C14A0">
        <w:rPr>
          <w:rFonts w:cs="Times New Roman"/>
          <w:sz w:val="23"/>
          <w:szCs w:val="23"/>
        </w:rPr>
        <w:t xml:space="preserve"> ≤ λ</w:t>
      </w:r>
      <w:r w:rsidRPr="001C14A0"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0 </w:t>
      </w:r>
      <w:r w:rsidRPr="001C14A0">
        <w:rPr>
          <w:rFonts w:cs="Times New Roman"/>
          <w:sz w:val="23"/>
          <w:szCs w:val="23"/>
        </w:rPr>
        <w:t xml:space="preserve">≤ 1322 </w:t>
      </w:r>
      <w:proofErr w:type="spellStart"/>
      <w:r w:rsidRPr="001C14A0">
        <w:rPr>
          <w:rFonts w:cs="Times New Roman"/>
          <w:sz w:val="23"/>
          <w:szCs w:val="23"/>
        </w:rPr>
        <w:t>nm</w:t>
      </w:r>
      <w:proofErr w:type="spellEnd"/>
      <w:r w:rsidRPr="001C14A0">
        <w:rPr>
          <w:rFonts w:cs="Times New Roman"/>
          <w:sz w:val="23"/>
          <w:szCs w:val="23"/>
        </w:rPr>
        <w:t xml:space="preserve">) a </w:t>
      </w:r>
      <w:r w:rsidRPr="001C14A0">
        <w:rPr>
          <w:rFonts w:cs="Times New Roman"/>
          <w:i/>
          <w:iCs/>
          <w:sz w:val="23"/>
          <w:szCs w:val="23"/>
        </w:rPr>
        <w:t>S</w:t>
      </w:r>
      <w:r w:rsidRPr="001C14A0"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0 </w:t>
      </w:r>
      <w:r w:rsidRPr="001C14A0">
        <w:rPr>
          <w:rFonts w:cs="Times New Roman"/>
          <w:sz w:val="23"/>
          <w:szCs w:val="23"/>
        </w:rPr>
        <w:t xml:space="preserve">sklon charakteristiky </w:t>
      </w:r>
    </w:p>
    <w:p w:rsidR="00A42DA0" w:rsidRPr="001C14A0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>(</w:t>
      </w:r>
      <w:r w:rsidRPr="001C14A0">
        <w:rPr>
          <w:rFonts w:cs="Times New Roman"/>
          <w:i/>
          <w:iCs/>
          <w:sz w:val="23"/>
          <w:szCs w:val="23"/>
        </w:rPr>
        <w:t>S</w:t>
      </w:r>
      <w:r w:rsidRPr="001C14A0"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0 </w:t>
      </w:r>
      <w:r w:rsidRPr="001C14A0">
        <w:rPr>
          <w:rFonts w:cs="Times New Roman"/>
          <w:sz w:val="23"/>
          <w:szCs w:val="23"/>
        </w:rPr>
        <w:t xml:space="preserve">≤ 0,092 </w:t>
      </w:r>
      <w:proofErr w:type="spellStart"/>
      <w:r w:rsidRPr="001C14A0">
        <w:rPr>
          <w:rFonts w:cs="Times New Roman"/>
          <w:sz w:val="23"/>
          <w:szCs w:val="23"/>
        </w:rPr>
        <w:t>ps</w:t>
      </w:r>
      <w:proofErr w:type="spellEnd"/>
      <w:r w:rsidRPr="001C14A0">
        <w:rPr>
          <w:rFonts w:cs="Times New Roman"/>
          <w:sz w:val="23"/>
          <w:szCs w:val="23"/>
        </w:rPr>
        <w:t>/ (</w:t>
      </w:r>
      <w:proofErr w:type="spellStart"/>
      <w:r w:rsidRPr="001C14A0">
        <w:rPr>
          <w:rFonts w:cs="Times New Roman"/>
          <w:sz w:val="23"/>
          <w:szCs w:val="23"/>
        </w:rPr>
        <w:t>nm</w:t>
      </w:r>
      <w:proofErr w:type="spellEnd"/>
      <w:r w:rsidRPr="001C14A0">
        <w:rPr>
          <w:rFonts w:cs="Times New Roman"/>
          <w:position w:val="10"/>
          <w:sz w:val="23"/>
          <w:szCs w:val="23"/>
          <w:vertAlign w:val="superscript"/>
        </w:rPr>
        <w:t>2</w:t>
      </w:r>
      <w:r w:rsidRPr="001C14A0">
        <w:rPr>
          <w:rFonts w:ascii="Cambria Math" w:hAnsi="Cambria Math" w:cs="Cambria Math"/>
          <w:sz w:val="23"/>
          <w:szCs w:val="23"/>
        </w:rPr>
        <w:t>⋅</w:t>
      </w:r>
      <w:r w:rsidRPr="001C14A0">
        <w:rPr>
          <w:rFonts w:cs="Times New Roman"/>
          <w:sz w:val="23"/>
          <w:szCs w:val="23"/>
        </w:rPr>
        <w:t xml:space="preserve">km)). </w:t>
      </w:r>
    </w:p>
    <w:p w:rsidR="00A42DA0" w:rsidRDefault="00A42DA0" w:rsidP="00684159">
      <w:pPr>
        <w:pStyle w:val="Nadpis1"/>
      </w:pPr>
      <w:r w:rsidRPr="001C14A0">
        <w:t xml:space="preserve">Uspořádání měření </w:t>
      </w:r>
    </w:p>
    <w:p w:rsidR="00A42DA0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>Jako zdroj měřicího signálu slouží generátor s moduly SFP (</w:t>
      </w:r>
      <w:proofErr w:type="spellStart"/>
      <w:r w:rsidRPr="001C14A0">
        <w:rPr>
          <w:rFonts w:cs="Times New Roman"/>
          <w:sz w:val="23"/>
          <w:szCs w:val="23"/>
        </w:rPr>
        <w:t>Small</w:t>
      </w:r>
      <w:proofErr w:type="spellEnd"/>
      <w:r w:rsidRPr="001C14A0">
        <w:rPr>
          <w:rFonts w:cs="Times New Roman"/>
          <w:sz w:val="23"/>
          <w:szCs w:val="23"/>
        </w:rPr>
        <w:t xml:space="preserve"> </w:t>
      </w:r>
      <w:proofErr w:type="spellStart"/>
      <w:r w:rsidRPr="001C14A0">
        <w:rPr>
          <w:rFonts w:cs="Times New Roman"/>
          <w:sz w:val="23"/>
          <w:szCs w:val="23"/>
        </w:rPr>
        <w:t>Form</w:t>
      </w:r>
      <w:proofErr w:type="spellEnd"/>
      <w:r w:rsidRPr="001C14A0">
        <w:rPr>
          <w:rFonts w:cs="Times New Roman"/>
          <w:sz w:val="23"/>
          <w:szCs w:val="23"/>
        </w:rPr>
        <w:t xml:space="preserve"> </w:t>
      </w:r>
      <w:proofErr w:type="spellStart"/>
      <w:r w:rsidRPr="001C14A0">
        <w:rPr>
          <w:rFonts w:cs="Times New Roman"/>
          <w:sz w:val="23"/>
          <w:szCs w:val="23"/>
        </w:rPr>
        <w:t>Pluggable</w:t>
      </w:r>
      <w:proofErr w:type="spellEnd"/>
      <w:r w:rsidRPr="001C14A0">
        <w:rPr>
          <w:rFonts w:cs="Times New Roman"/>
          <w:sz w:val="23"/>
          <w:szCs w:val="23"/>
        </w:rPr>
        <w:t>) v rastru CWDM. Moduly mají signál modulovaný frekvencí v rozsahu 48 ÷ 767,25 MHz. Pro měření jsou využívány vždy dvojice (páry) blízkých vlnových délek takto:</w:t>
      </w:r>
    </w:p>
    <w:p w:rsidR="00A42DA0" w:rsidRPr="001C14A0" w:rsidRDefault="00A42DA0" w:rsidP="00A42DA0">
      <w:pPr>
        <w:autoSpaceDE w:val="0"/>
        <w:autoSpaceDN w:val="0"/>
        <w:adjustRightInd w:val="0"/>
        <w:spacing w:before="240" w:after="60"/>
        <w:jc w:val="both"/>
        <w:rPr>
          <w:rFonts w:ascii="Arial" w:hAnsi="Arial" w:cs="Arial"/>
          <w:color w:val="000000"/>
          <w:sz w:val="26"/>
          <w:szCs w:val="26"/>
        </w:rPr>
      </w:pPr>
    </w:p>
    <w:tbl>
      <w:tblPr>
        <w:tblW w:w="1004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969"/>
        <w:gridCol w:w="1299"/>
        <w:gridCol w:w="1167"/>
        <w:gridCol w:w="1233"/>
        <w:gridCol w:w="10"/>
        <w:gridCol w:w="1223"/>
        <w:gridCol w:w="1236"/>
      </w:tblGrid>
      <w:tr w:rsidR="00A42DA0" w:rsidRPr="001C14A0" w:rsidTr="00C72B18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2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Pár č. 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24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3 </w:t>
            </w:r>
          </w:p>
        </w:tc>
      </w:tr>
      <w:tr w:rsidR="00A42DA0" w:rsidRPr="001C14A0" w:rsidTr="00C72B18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2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>Střední vlnová délka [</w:t>
            </w:r>
            <w:proofErr w:type="spellStart"/>
            <w:r w:rsidRPr="001C14A0">
              <w:rPr>
                <w:rFonts w:cs="Times New Roman"/>
                <w:color w:val="000000"/>
                <w:sz w:val="23"/>
                <w:szCs w:val="23"/>
              </w:rPr>
              <w:t>nm</w:t>
            </w:r>
            <w:proofErr w:type="spellEnd"/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] 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1330 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1480 </w:t>
            </w:r>
          </w:p>
        </w:tc>
        <w:tc>
          <w:tcPr>
            <w:tcW w:w="24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1560 </w:t>
            </w:r>
          </w:p>
        </w:tc>
      </w:tr>
      <w:tr w:rsidR="00A42DA0" w:rsidRPr="001C14A0" w:rsidTr="00C72B18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2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>Nominální λ modulu [</w:t>
            </w:r>
            <w:proofErr w:type="spellStart"/>
            <w:r w:rsidRPr="001C14A0">
              <w:rPr>
                <w:rFonts w:cs="Times New Roman"/>
                <w:color w:val="000000"/>
                <w:sz w:val="23"/>
                <w:szCs w:val="23"/>
              </w:rPr>
              <w:t>nm</w:t>
            </w:r>
            <w:proofErr w:type="spellEnd"/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] 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1310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1350 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1470 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1490 </w:t>
            </w:r>
          </w:p>
        </w:tc>
        <w:tc>
          <w:tcPr>
            <w:tcW w:w="12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1550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1570 </w:t>
            </w:r>
          </w:p>
        </w:tc>
      </w:tr>
      <w:tr w:rsidR="00A42DA0" w:rsidRPr="001C14A0" w:rsidTr="00C72B18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2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Barevné označení modulu 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modrá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žlutá 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šedá 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>fialová</w:t>
            </w:r>
          </w:p>
        </w:tc>
        <w:tc>
          <w:tcPr>
            <w:tcW w:w="12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žlutá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oranžová </w:t>
            </w:r>
          </w:p>
        </w:tc>
      </w:tr>
    </w:tbl>
    <w:p w:rsidR="00A42DA0" w:rsidRDefault="00A42DA0" w:rsidP="00A42DA0"/>
    <w:p w:rsidR="00F34BB9" w:rsidRDefault="00F34BB9" w:rsidP="003C6886">
      <w:pPr>
        <w:jc w:val="center"/>
      </w:pPr>
      <w:r w:rsidRPr="00F34BB9">
        <w:rPr>
          <w:noProof/>
          <w:lang w:eastAsia="ja-JP"/>
        </w:rPr>
        <w:lastRenderedPageBreak/>
        <w:drawing>
          <wp:inline distT="0" distB="0" distL="0" distR="0">
            <wp:extent cx="4029740" cy="4142972"/>
            <wp:effectExtent l="0" t="0" r="889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818" cy="416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A0" w:rsidRPr="001C14A0" w:rsidRDefault="00A42DA0" w:rsidP="003C6886">
      <w:pPr>
        <w:jc w:val="center"/>
      </w:pPr>
      <w:r w:rsidRPr="001C14A0">
        <w:t>Obr. 1: Uspořádání přístrojů pro měření chromatické disperze</w:t>
      </w:r>
    </w:p>
    <w:p w:rsidR="00A42DA0" w:rsidRPr="00A42DA0" w:rsidRDefault="00A42DA0" w:rsidP="003A4F6F">
      <w:pPr>
        <w:rPr>
          <w:szCs w:val="24"/>
        </w:rPr>
      </w:pPr>
    </w:p>
    <w:p w:rsidR="00A42DA0" w:rsidRPr="00A42DA0" w:rsidRDefault="00A42DA0" w:rsidP="003A4F6F">
      <w:r w:rsidRPr="00A42DA0">
        <w:rPr>
          <w:szCs w:val="24"/>
        </w:rPr>
        <w:t xml:space="preserve"> </w:t>
      </w:r>
      <w:r w:rsidRPr="00A42DA0">
        <w:t xml:space="preserve">Výstupy modulů jsou sloučeny v </w:t>
      </w:r>
      <w:proofErr w:type="spellStart"/>
      <w:r w:rsidRPr="00A42DA0">
        <w:t>multiplexeru</w:t>
      </w:r>
      <w:proofErr w:type="spellEnd"/>
      <w:r w:rsidRPr="00A42DA0">
        <w:t xml:space="preserve"> a část signálu odbočena do jednoho z modulů v roli optoelektronického převodníku navázaného k osciloskopu (referenční signál, vůči němuž určujeme posuv zpožděného signálu). Signál dále prochází měřeným vláknem a pak do druhého (optického) vstupu osciloskopu, viz obr. 1. </w:t>
      </w:r>
    </w:p>
    <w:p w:rsidR="00A42DA0" w:rsidRPr="00A42DA0" w:rsidRDefault="00A42DA0" w:rsidP="00684159">
      <w:pPr>
        <w:pStyle w:val="Nadpis1"/>
      </w:pPr>
      <w:r w:rsidRPr="00A42DA0">
        <w:t xml:space="preserve">Pokyny pro měření </w:t>
      </w:r>
    </w:p>
    <w:p w:rsidR="00A42DA0" w:rsidRPr="003A4F6F" w:rsidRDefault="00A42DA0" w:rsidP="003A4F6F">
      <w:pPr>
        <w:pStyle w:val="Odstavecseseznamem"/>
        <w:numPr>
          <w:ilvl w:val="0"/>
          <w:numId w:val="21"/>
        </w:numPr>
      </w:pPr>
      <w:r w:rsidRPr="003A4F6F">
        <w:t xml:space="preserve">Pomocí optického spektrálního analyzátoru zjistíme skutečné vlnové délky modulů SFP. </w:t>
      </w:r>
    </w:p>
    <w:p w:rsidR="00A42DA0" w:rsidRPr="003A4F6F" w:rsidRDefault="00A42DA0" w:rsidP="003A4F6F">
      <w:pPr>
        <w:pStyle w:val="Odstavecseseznamem"/>
        <w:numPr>
          <w:ilvl w:val="0"/>
          <w:numId w:val="21"/>
        </w:numPr>
      </w:pPr>
      <w:r w:rsidRPr="003A4F6F">
        <w:t xml:space="preserve">S využitím vzorkovacího osciloskopu změříme změny doby šíření signálu při přepínání blízkých vlnových délek. Vyšší frekvence signálu umožňuje přesnější měření, ovšem snadno přeskočíme o celou periodu. Sledujeme rovněž smysl (znaménko) změny. </w:t>
      </w:r>
    </w:p>
    <w:p w:rsidR="00A42DA0" w:rsidRPr="003A4F6F" w:rsidRDefault="00A42DA0" w:rsidP="003A4F6F">
      <w:pPr>
        <w:pStyle w:val="Odstavecseseznamem"/>
        <w:numPr>
          <w:ilvl w:val="0"/>
          <w:numId w:val="21"/>
        </w:numPr>
      </w:pPr>
      <w:r w:rsidRPr="003A4F6F">
        <w:t xml:space="preserve">Ze změřených dat vypočítáme hodnoty koeficientu chromatické disperze. Údaje porovnáme s typickými (přesněji řečeno mezními) hodnotami od výrobce. </w:t>
      </w:r>
    </w:p>
    <w:p w:rsidR="00A42DA0" w:rsidRPr="001C14A0" w:rsidRDefault="00A42DA0" w:rsidP="00684159">
      <w:pPr>
        <w:pStyle w:val="Nadpis1"/>
      </w:pPr>
      <w:r w:rsidRPr="001C14A0">
        <w:t xml:space="preserve">Použité přístroje </w:t>
      </w:r>
    </w:p>
    <w:p w:rsidR="00200DA0" w:rsidRPr="00684159" w:rsidRDefault="00A42DA0" w:rsidP="00684159">
      <w:r w:rsidRPr="001C14A0">
        <w:t xml:space="preserve">Základní jednotka generátoru se šesti moduly SFP v rastru CWDM, </w:t>
      </w:r>
      <w:proofErr w:type="spellStart"/>
      <w:r w:rsidRPr="001C14A0">
        <w:t>multiplexer</w:t>
      </w:r>
      <w:proofErr w:type="spellEnd"/>
      <w:r w:rsidRPr="001C14A0">
        <w:t xml:space="preserve"> CWDM, optický spektrální analyzátor </w:t>
      </w:r>
      <w:proofErr w:type="spellStart"/>
      <w:r w:rsidRPr="001C14A0">
        <w:t>Sandhouse</w:t>
      </w:r>
      <w:proofErr w:type="spellEnd"/>
      <w:r w:rsidRPr="001C14A0">
        <w:t xml:space="preserve"> SIR1700 a řídící PC, širokopásmové děliče výkonu 10:90 a 50:50, měřené vlákno typu SMF-28 délky 5 km, vzorkovací osciloskop </w:t>
      </w:r>
      <w:proofErr w:type="spellStart"/>
      <w:r w:rsidRPr="001C14A0">
        <w:t>Agilent</w:t>
      </w:r>
      <w:proofErr w:type="spellEnd"/>
      <w:r w:rsidRPr="001C14A0">
        <w:t xml:space="preserve"> 86100C s modulem 86105C, optický atenuátor, propojovací kabely s konektory LC, E2000 a FC.</w:t>
      </w:r>
    </w:p>
    <w:p w:rsidR="00200DA0" w:rsidRDefault="00200DA0">
      <w:pPr>
        <w:spacing w:after="160" w:line="259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br w:type="page"/>
      </w:r>
    </w:p>
    <w:p w:rsidR="0010438E" w:rsidRPr="00D2581A" w:rsidRDefault="001F2FD1" w:rsidP="00CC1457">
      <w:pPr>
        <w:pStyle w:val="Nadpis1"/>
      </w:pPr>
      <w:r w:rsidRPr="00DE1EA7">
        <w:lastRenderedPageBreak/>
        <w:t>Řešení</w:t>
      </w:r>
    </w:p>
    <w:p w:rsidR="00B95998" w:rsidRDefault="007132F4">
      <w:pPr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 Podle pokynů k měření jsem přepínal na generátoru výstupy o různých vlnových délkách a naměřené skutečné hodnoty</w:t>
      </w:r>
      <w:r w:rsidR="00AC1187">
        <w:rPr>
          <w:rFonts w:cs="Times New Roman"/>
        </w:rPr>
        <w:t xml:space="preserve"> modulů </w:t>
      </w:r>
      <w:r>
        <w:rPr>
          <w:rFonts w:cs="Times New Roman"/>
        </w:rPr>
        <w:t xml:space="preserve">jsem </w:t>
      </w:r>
      <w:r w:rsidR="00AC1187">
        <w:rPr>
          <w:rFonts w:cs="Times New Roman"/>
        </w:rPr>
        <w:t xml:space="preserve">zanesl do tabulky </w:t>
      </w:r>
      <w:r w:rsidR="00557AE4">
        <w:rPr>
          <w:rFonts w:cs="Times New Roman"/>
        </w:rPr>
        <w:t>1</w:t>
      </w:r>
      <w:r w:rsidR="00AC1187">
        <w:rPr>
          <w:rFonts w:cs="Times New Roman"/>
        </w:rPr>
        <w:t>.</w:t>
      </w:r>
    </w:p>
    <w:tbl>
      <w:tblPr>
        <w:tblW w:w="0" w:type="auto"/>
        <w:tblInd w:w="-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</w:tblGrid>
      <w:tr w:rsidR="00522CC4" w:rsidRPr="00D77C48" w:rsidTr="00CB633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center"/>
              <w:rPr>
                <w:rFonts w:ascii="Symbol" w:hAnsi="Symbol" w:cs="Calibri"/>
                <w:color w:val="000000"/>
                <w:szCs w:val="24"/>
                <w:vertAlign w:val="subscript"/>
              </w:rPr>
            </w:pPr>
            <w:r w:rsidRPr="00D77C48">
              <w:rPr>
                <w:rFonts w:ascii="Symbol" w:hAnsi="Symbol" w:cs="Calibri"/>
                <w:color w:val="000000"/>
                <w:szCs w:val="24"/>
              </w:rPr>
              <w:t>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center"/>
              <w:rPr>
                <w:rFonts w:ascii="Symbol" w:hAnsi="Symbol" w:cs="Calibri"/>
                <w:color w:val="000000"/>
                <w:szCs w:val="24"/>
                <w:vertAlign w:val="subscript"/>
              </w:rPr>
            </w:pPr>
            <w:r w:rsidRPr="00D77C48">
              <w:rPr>
                <w:rFonts w:ascii="Symbol" w:hAnsi="Symbol" w:cs="Calibri"/>
                <w:color w:val="000000"/>
                <w:szCs w:val="24"/>
              </w:rPr>
              <w:t></w:t>
            </w:r>
            <w:proofErr w:type="spellStart"/>
            <w:r w:rsidRPr="00D77C48">
              <w:rPr>
                <w:rFonts w:cs="Times New Roman"/>
                <w:color w:val="000000"/>
                <w:szCs w:val="24"/>
                <w:vertAlign w:val="subscript"/>
              </w:rPr>
              <w:t>rea</w:t>
            </w:r>
            <w:r>
              <w:rPr>
                <w:rFonts w:cs="Times New Roman"/>
                <w:color w:val="000000"/>
                <w:szCs w:val="24"/>
                <w:vertAlign w:val="subscript"/>
              </w:rPr>
              <w:t>l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center"/>
              <w:rPr>
                <w:rFonts w:ascii="Symbol" w:hAnsi="Symbol" w:cs="Calibri"/>
                <w:color w:val="000000"/>
                <w:szCs w:val="24"/>
              </w:rPr>
            </w:pPr>
            <w:r w:rsidRPr="00D77C48">
              <w:rPr>
                <w:rFonts w:ascii="Symbol" w:hAnsi="Symbol" w:cs="Calibri"/>
                <w:color w:val="000000"/>
                <w:szCs w:val="24"/>
              </w:rPr>
              <w:t></w:t>
            </w:r>
            <w:r w:rsidRPr="00D77C48">
              <w:rPr>
                <w:rFonts w:ascii="Symbol" w:hAnsi="Symbol" w:cs="Calibri"/>
                <w:color w:val="000000"/>
                <w:szCs w:val="24"/>
              </w:rPr>
              <w:t>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4"/>
              </w:rPr>
              <w:t>D</w:t>
            </w:r>
            <w:r w:rsidRPr="00C50C58">
              <w:rPr>
                <w:rFonts w:ascii="Calibri" w:hAnsi="Calibri" w:cs="Calibri"/>
                <w:color w:val="000000"/>
                <w:szCs w:val="24"/>
                <w:vertAlign w:val="subscript"/>
              </w:rPr>
              <w:t>ch</w:t>
            </w:r>
            <w:proofErr w:type="spellEnd"/>
          </w:p>
        </w:tc>
      </w:tr>
      <w:tr w:rsidR="00522CC4" w:rsidRPr="00D77C48" w:rsidTr="00CB633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 w:hint="eastAsia"/>
                <w:color w:val="000000"/>
                <w:szCs w:val="24"/>
                <w:lang w:eastAsia="ja-JP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[</w:t>
            </w:r>
            <w:proofErr w:type="spellStart"/>
            <w:r w:rsidRPr="00D77C48">
              <w:rPr>
                <w:rFonts w:ascii="Calibri" w:hAnsi="Calibri" w:cs="Calibri"/>
                <w:color w:val="000000"/>
                <w:szCs w:val="24"/>
              </w:rPr>
              <w:t>nm</w:t>
            </w:r>
            <w:proofErr w:type="spellEnd"/>
            <w:r w:rsidRPr="00D77C48">
              <w:rPr>
                <w:rFonts w:ascii="Calibri" w:hAnsi="Calibri" w:cs="Calibri"/>
                <w:color w:val="000000"/>
                <w:szCs w:val="24"/>
              </w:rPr>
              <w:t>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 w:hint="eastAsia"/>
                <w:color w:val="000000"/>
                <w:szCs w:val="24"/>
                <w:lang w:eastAsia="ja-JP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[</w:t>
            </w:r>
            <w:proofErr w:type="spellStart"/>
            <w:r w:rsidRPr="00D77C48">
              <w:rPr>
                <w:rFonts w:ascii="Calibri" w:hAnsi="Calibri" w:cs="Calibri"/>
                <w:color w:val="000000"/>
                <w:szCs w:val="24"/>
              </w:rPr>
              <w:t>nm</w:t>
            </w:r>
            <w:proofErr w:type="spellEnd"/>
            <w:r w:rsidRPr="00D77C48">
              <w:rPr>
                <w:rFonts w:ascii="Calibri" w:hAnsi="Calibri" w:cs="Calibri"/>
                <w:color w:val="000000"/>
                <w:szCs w:val="24"/>
              </w:rPr>
              <w:t>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Cs w:val="24"/>
                <w:lang w:val="en-US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  <w:lang w:val="en-US"/>
              </w:rPr>
              <w:t>[ns]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C50C58" w:rsidRDefault="00522CC4" w:rsidP="00522CC4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Cs w:val="24"/>
                <w:lang w:val="en-US"/>
              </w:rPr>
              <w:t>ps</w:t>
            </w:r>
            <w:proofErr w:type="spellEnd"/>
            <w:r>
              <w:rPr>
                <w:rFonts w:ascii="Calibri" w:hAnsi="Calibri" w:cs="Calibri"/>
                <w:color w:val="000000"/>
                <w:szCs w:val="24"/>
                <w:lang w:val="en-US"/>
              </w:rPr>
              <w:t>]</w:t>
            </w:r>
          </w:p>
        </w:tc>
      </w:tr>
      <w:tr w:rsidR="00522CC4" w:rsidRPr="00D77C48" w:rsidTr="00CB633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1310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57AE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131</w:t>
            </w:r>
            <w:r w:rsidR="00557AE4">
              <w:rPr>
                <w:rFonts w:ascii="Calibri" w:hAnsi="Calibri" w:cs="Calibri"/>
                <w:color w:val="000000"/>
                <w:szCs w:val="24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2,62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1,600</w:t>
            </w:r>
          </w:p>
        </w:tc>
      </w:tr>
      <w:tr w:rsidR="00522CC4" w:rsidRPr="00D77C48" w:rsidTr="00CB633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1350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57AE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1353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2,3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22CC4" w:rsidRPr="00D77C48" w:rsidTr="00CB633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1470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57AE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1472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2,32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12,300</w:t>
            </w:r>
          </w:p>
        </w:tc>
      </w:tr>
      <w:tr w:rsidR="00522CC4" w:rsidRPr="00D77C48" w:rsidTr="00CB633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1490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57AE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1492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3,55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22CC4" w:rsidRPr="00D77C48" w:rsidTr="00CB633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1550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57AE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1552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2,46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17,000</w:t>
            </w:r>
          </w:p>
        </w:tc>
      </w:tr>
      <w:tr w:rsidR="00522CC4" w:rsidRPr="00D77C48" w:rsidTr="00CB633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1570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57AE4" w:rsidRPr="00D77C48" w:rsidRDefault="00557AE4" w:rsidP="00557AE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1572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0,76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2CC4" w:rsidRPr="00D77C48" w:rsidRDefault="00522CC4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</w:p>
        </w:tc>
      </w:tr>
    </w:tbl>
    <w:p w:rsidR="00AC1187" w:rsidRDefault="00B07C2D">
      <w:pPr>
        <w:spacing w:after="160" w:line="259" w:lineRule="auto"/>
        <w:rPr>
          <w:rFonts w:cs="Times New Roman"/>
        </w:rPr>
      </w:pPr>
      <w:r>
        <w:rPr>
          <w:rFonts w:cs="Times New Roman"/>
        </w:rPr>
        <w:t>Tabulka 1</w:t>
      </w:r>
      <w:r w:rsidR="00087C88">
        <w:rPr>
          <w:rFonts w:cs="Times New Roman"/>
        </w:rPr>
        <w:t xml:space="preserve"> Změřené hodnoty</w:t>
      </w:r>
    </w:p>
    <w:p w:rsidR="001E632F" w:rsidRDefault="001E632F">
      <w:pPr>
        <w:spacing w:after="160" w:line="259" w:lineRule="auto"/>
        <w:rPr>
          <w:rFonts w:cs="Times New Roman"/>
        </w:rPr>
      </w:pPr>
      <w:r>
        <w:rPr>
          <w:noProof/>
          <w:lang w:eastAsia="ja-JP"/>
        </w:rPr>
        <w:drawing>
          <wp:inline distT="0" distB="0" distL="0" distR="0" wp14:anchorId="54EC97C1" wp14:editId="31A821FB">
            <wp:extent cx="5760000" cy="3600000"/>
            <wp:effectExtent l="0" t="0" r="12700" b="635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87C88" w:rsidRDefault="001E632F">
      <w:pPr>
        <w:spacing w:after="160" w:line="259" w:lineRule="auto"/>
        <w:rPr>
          <w:rFonts w:cs="Times New Roman"/>
        </w:rPr>
      </w:pPr>
      <w:r>
        <w:rPr>
          <w:rFonts w:cs="Times New Roman"/>
        </w:rPr>
        <w:t>Graf 1</w:t>
      </w:r>
      <w:r w:rsidR="00087C88">
        <w:rPr>
          <w:rFonts w:cs="Times New Roman"/>
        </w:rPr>
        <w:t xml:space="preserve"> Závislost chromatické disperze na vlnové délce ze změřených dat</w:t>
      </w:r>
    </w:p>
    <w:tbl>
      <w:tblPr>
        <w:tblW w:w="2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0"/>
        <w:gridCol w:w="1120"/>
      </w:tblGrid>
      <w:tr w:rsidR="004D789E" w:rsidRPr="004D789E" w:rsidTr="00BC3845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D789E" w:rsidRPr="00D77C48" w:rsidRDefault="004D789E" w:rsidP="004D789E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  <w:vertAlign w:val="subscript"/>
              </w:rPr>
            </w:pPr>
            <w:r w:rsidRPr="00D77C48">
              <w:rPr>
                <w:rFonts w:ascii="Symbol" w:hAnsi="Symbol" w:cs="Calibri"/>
                <w:color w:val="000000"/>
                <w:szCs w:val="24"/>
              </w:rPr>
              <w:t></w:t>
            </w:r>
            <w:r w:rsidRPr="004D789E">
              <w:rPr>
                <w:rFonts w:ascii="Symbol" w:hAnsi="Symbol" w:cs="Calibri"/>
                <w:color w:val="000000"/>
                <w:szCs w:val="24"/>
                <w:vertAlign w:val="subscript"/>
              </w:rPr>
              <w:t></w:t>
            </w:r>
            <w:r w:rsidRPr="004D789E">
              <w:rPr>
                <w:rFonts w:cs="Times New Roman"/>
                <w:color w:val="000000"/>
                <w:szCs w:val="24"/>
                <w:vertAlign w:val="subscript"/>
              </w:rPr>
              <w:t>tabulková)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D789E" w:rsidRPr="00D77C48" w:rsidRDefault="004D789E" w:rsidP="00BC38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4"/>
              </w:rPr>
              <w:t>D</w:t>
            </w:r>
            <w:r w:rsidRPr="00C50C58">
              <w:rPr>
                <w:rFonts w:ascii="Calibri" w:hAnsi="Calibri" w:cs="Calibri"/>
                <w:color w:val="000000"/>
                <w:szCs w:val="24"/>
                <w:vertAlign w:val="subscript"/>
              </w:rPr>
              <w:t>ch</w:t>
            </w:r>
            <w:proofErr w:type="spellEnd"/>
          </w:p>
        </w:tc>
      </w:tr>
      <w:tr w:rsidR="004D789E" w:rsidRPr="004D789E" w:rsidTr="00BC3845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D789E" w:rsidRPr="00D77C48" w:rsidRDefault="004D789E" w:rsidP="004D789E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 w:hint="eastAsia"/>
                <w:color w:val="000000"/>
                <w:szCs w:val="24"/>
                <w:lang w:eastAsia="ja-JP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[</w:t>
            </w:r>
            <w:proofErr w:type="spellStart"/>
            <w:r w:rsidRPr="00D77C48">
              <w:rPr>
                <w:rFonts w:ascii="Calibri" w:hAnsi="Calibri" w:cs="Calibri"/>
                <w:color w:val="000000"/>
                <w:szCs w:val="24"/>
              </w:rPr>
              <w:t>nm</w:t>
            </w:r>
            <w:proofErr w:type="spellEnd"/>
            <w:r w:rsidRPr="00D77C48">
              <w:rPr>
                <w:rFonts w:ascii="Calibri" w:hAnsi="Calibri" w:cs="Calibri"/>
                <w:color w:val="000000"/>
                <w:szCs w:val="24"/>
              </w:rPr>
              <w:t>]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D789E" w:rsidRPr="00C50C58" w:rsidRDefault="004D789E" w:rsidP="004D789E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Cs w:val="24"/>
                <w:lang w:val="en-US"/>
              </w:rPr>
              <w:t>ps</w:t>
            </w:r>
            <w:proofErr w:type="spellEnd"/>
            <w:r>
              <w:rPr>
                <w:rFonts w:ascii="Calibri" w:hAnsi="Calibri" w:cs="Calibri"/>
                <w:color w:val="000000"/>
                <w:szCs w:val="24"/>
                <w:lang w:val="en-US"/>
              </w:rPr>
              <w:t>]</w:t>
            </w:r>
          </w:p>
        </w:tc>
      </w:tr>
      <w:tr w:rsidR="004D789E" w:rsidRPr="004D789E" w:rsidTr="00BC3845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89E" w:rsidRPr="004D789E" w:rsidRDefault="004D789E" w:rsidP="004D78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4D789E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1330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89E" w:rsidRPr="004D789E" w:rsidRDefault="004D789E" w:rsidP="004D78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4D789E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1,71</w:t>
            </w:r>
          </w:p>
        </w:tc>
      </w:tr>
      <w:tr w:rsidR="004D789E" w:rsidRPr="004D789E" w:rsidTr="00BC3845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89E" w:rsidRPr="004D789E" w:rsidRDefault="004D789E" w:rsidP="004D78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4D789E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1480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89E" w:rsidRPr="004D789E" w:rsidRDefault="004D789E" w:rsidP="004D78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4D789E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13,08</w:t>
            </w:r>
          </w:p>
        </w:tc>
      </w:tr>
      <w:tr w:rsidR="004D789E" w:rsidRPr="004D789E" w:rsidTr="00BC3845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89E" w:rsidRPr="004D789E" w:rsidRDefault="004D789E" w:rsidP="004D78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4D789E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1560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89E" w:rsidRPr="004D789E" w:rsidRDefault="004D789E" w:rsidP="004D78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4D789E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17,98</w:t>
            </w:r>
          </w:p>
        </w:tc>
      </w:tr>
    </w:tbl>
    <w:p w:rsidR="00BC3845" w:rsidRDefault="00BC3845" w:rsidP="00BC3845">
      <w:pPr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Tabulka </w:t>
      </w:r>
      <w:r>
        <w:rPr>
          <w:rFonts w:cs="Times New Roman"/>
        </w:rPr>
        <w:t>2</w:t>
      </w:r>
      <w:r>
        <w:rPr>
          <w:rFonts w:cs="Times New Roman"/>
        </w:rPr>
        <w:t xml:space="preserve"> </w:t>
      </w:r>
      <w:r w:rsidR="009D05D6">
        <w:rPr>
          <w:rFonts w:cs="Times New Roman"/>
        </w:rPr>
        <w:t>Vypočtené hodnoty</w:t>
      </w:r>
    </w:p>
    <w:p w:rsidR="004D789E" w:rsidRDefault="007A6B5B">
      <w:pPr>
        <w:spacing w:after="160" w:line="259" w:lineRule="auto"/>
        <w:rPr>
          <w:rFonts w:cs="Times New Roman"/>
        </w:rPr>
      </w:pPr>
      <w:r>
        <w:rPr>
          <w:noProof/>
          <w:lang w:eastAsia="ja-JP"/>
        </w:rPr>
        <w:lastRenderedPageBreak/>
        <w:drawing>
          <wp:inline distT="0" distB="0" distL="0" distR="0" wp14:anchorId="636604BB" wp14:editId="63F0E72B">
            <wp:extent cx="5760000" cy="3600000"/>
            <wp:effectExtent l="0" t="0" r="12700" b="635"/>
            <wp:docPr id="8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C0924" w:rsidRDefault="004C0924" w:rsidP="004C0924">
      <w:r>
        <w:t>Graf 2</w:t>
      </w:r>
      <w:r w:rsidR="00311C55">
        <w:t xml:space="preserve"> </w:t>
      </w:r>
      <w:r w:rsidR="00311C55">
        <w:rPr>
          <w:rFonts w:cs="Times New Roman"/>
        </w:rPr>
        <w:t>Závislost chromatické disperze na vlnové délce z</w:t>
      </w:r>
      <w:r w:rsidR="008A2D3F">
        <w:rPr>
          <w:rFonts w:cs="Times New Roman"/>
        </w:rPr>
        <w:t xml:space="preserve"> vypočtených</w:t>
      </w:r>
      <w:r w:rsidR="00311C55">
        <w:rPr>
          <w:rFonts w:cs="Times New Roman"/>
        </w:rPr>
        <w:t xml:space="preserve"> dat</w:t>
      </w:r>
    </w:p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t>Závěr</w:t>
      </w:r>
    </w:p>
    <w:p w:rsidR="005E3E62" w:rsidRPr="005E3E62" w:rsidRDefault="008D7F24" w:rsidP="005E3E62">
      <w:r>
        <w:t xml:space="preserve"> Z grafů ze změřených a vypočtených (teoretických)</w:t>
      </w:r>
      <w:r w:rsidR="006A2C1D">
        <w:t xml:space="preserve"> je vidět, že hodnoty jsou </w:t>
      </w:r>
      <w:r w:rsidR="00170045">
        <w:t xml:space="preserve">téměř totožné. Lze tedy potvrdit, že změřené hodnoty </w:t>
      </w:r>
      <w:r w:rsidR="001E4483">
        <w:t>odpo</w:t>
      </w:r>
      <w:r w:rsidR="00BC7F96">
        <w:t>vídají tabulkovým hodnotám udávané výrobcem.</w:t>
      </w:r>
      <w:bookmarkStart w:id="0" w:name="_GoBack"/>
      <w:bookmarkEnd w:id="0"/>
    </w:p>
    <w:sectPr w:rsidR="005E3E62" w:rsidRPr="005E3E62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DCA" w:rsidRDefault="00864DCA" w:rsidP="003E45C3">
      <w:r>
        <w:separator/>
      </w:r>
    </w:p>
  </w:endnote>
  <w:endnote w:type="continuationSeparator" w:id="0">
    <w:p w:rsidR="00864DCA" w:rsidRDefault="00864DCA" w:rsidP="003E45C3">
      <w:r>
        <w:continuationSeparator/>
      </w:r>
    </w:p>
  </w:endnote>
  <w:endnote w:type="continuationNotice" w:id="1">
    <w:p w:rsidR="00864DCA" w:rsidRDefault="00864D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643" w:rsidRDefault="0002064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DCA" w:rsidRDefault="00864DCA" w:rsidP="003E45C3">
      <w:r>
        <w:separator/>
      </w:r>
    </w:p>
  </w:footnote>
  <w:footnote w:type="continuationSeparator" w:id="0">
    <w:p w:rsidR="00864DCA" w:rsidRDefault="00864DCA" w:rsidP="003E45C3">
      <w:r>
        <w:continuationSeparator/>
      </w:r>
    </w:p>
  </w:footnote>
  <w:footnote w:type="continuationNotice" w:id="1">
    <w:p w:rsidR="00864DCA" w:rsidRDefault="00864D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5197E"/>
    <w:multiLevelType w:val="hybridMultilevel"/>
    <w:tmpl w:val="343E9A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22402"/>
    <w:multiLevelType w:val="hybridMultilevel"/>
    <w:tmpl w:val="56C058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55684"/>
    <w:multiLevelType w:val="hybridMultilevel"/>
    <w:tmpl w:val="A350BC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276D5"/>
    <w:multiLevelType w:val="hybridMultilevel"/>
    <w:tmpl w:val="626C4A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B7DDB"/>
    <w:multiLevelType w:val="hybridMultilevel"/>
    <w:tmpl w:val="FB8A7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17"/>
  </w:num>
  <w:num w:numId="5">
    <w:abstractNumId w:val="16"/>
  </w:num>
  <w:num w:numId="6">
    <w:abstractNumId w:val="2"/>
  </w:num>
  <w:num w:numId="7">
    <w:abstractNumId w:val="3"/>
  </w:num>
  <w:num w:numId="8">
    <w:abstractNumId w:val="19"/>
  </w:num>
  <w:num w:numId="9">
    <w:abstractNumId w:val="18"/>
  </w:num>
  <w:num w:numId="10">
    <w:abstractNumId w:val="13"/>
  </w:num>
  <w:num w:numId="11">
    <w:abstractNumId w:val="8"/>
  </w:num>
  <w:num w:numId="12">
    <w:abstractNumId w:val="10"/>
  </w:num>
  <w:num w:numId="13">
    <w:abstractNumId w:val="7"/>
  </w:num>
  <w:num w:numId="14">
    <w:abstractNumId w:val="14"/>
  </w:num>
  <w:num w:numId="15">
    <w:abstractNumId w:val="0"/>
  </w:num>
  <w:num w:numId="16">
    <w:abstractNumId w:val="9"/>
  </w:num>
  <w:num w:numId="17">
    <w:abstractNumId w:val="4"/>
  </w:num>
  <w:num w:numId="18">
    <w:abstractNumId w:val="20"/>
  </w:num>
  <w:num w:numId="19">
    <w:abstractNumId w:val="5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17905"/>
    <w:rsid w:val="00020643"/>
    <w:rsid w:val="00030A50"/>
    <w:rsid w:val="00033E27"/>
    <w:rsid w:val="000534B3"/>
    <w:rsid w:val="000661C4"/>
    <w:rsid w:val="00070406"/>
    <w:rsid w:val="00087C88"/>
    <w:rsid w:val="0009369D"/>
    <w:rsid w:val="0010438E"/>
    <w:rsid w:val="00104DE4"/>
    <w:rsid w:val="001427BF"/>
    <w:rsid w:val="001503D7"/>
    <w:rsid w:val="00170045"/>
    <w:rsid w:val="00180F8B"/>
    <w:rsid w:val="0018529A"/>
    <w:rsid w:val="001B6B16"/>
    <w:rsid w:val="001B707E"/>
    <w:rsid w:val="001B7E3A"/>
    <w:rsid w:val="001C14A0"/>
    <w:rsid w:val="001D1597"/>
    <w:rsid w:val="001E4483"/>
    <w:rsid w:val="001E632F"/>
    <w:rsid w:val="001F0D42"/>
    <w:rsid w:val="001F2FD1"/>
    <w:rsid w:val="00200DA0"/>
    <w:rsid w:val="00233E6F"/>
    <w:rsid w:val="00271EC5"/>
    <w:rsid w:val="0028354C"/>
    <w:rsid w:val="00292643"/>
    <w:rsid w:val="002C4460"/>
    <w:rsid w:val="002C57C4"/>
    <w:rsid w:val="002E622C"/>
    <w:rsid w:val="002F6036"/>
    <w:rsid w:val="003114A7"/>
    <w:rsid w:val="00311C55"/>
    <w:rsid w:val="00317E15"/>
    <w:rsid w:val="003207AF"/>
    <w:rsid w:val="00342C5A"/>
    <w:rsid w:val="00371691"/>
    <w:rsid w:val="003738B1"/>
    <w:rsid w:val="00373930"/>
    <w:rsid w:val="0037539F"/>
    <w:rsid w:val="00375DC9"/>
    <w:rsid w:val="00387E86"/>
    <w:rsid w:val="00395A58"/>
    <w:rsid w:val="003A4F6F"/>
    <w:rsid w:val="003A72F2"/>
    <w:rsid w:val="003B6982"/>
    <w:rsid w:val="003C6886"/>
    <w:rsid w:val="003D2ECC"/>
    <w:rsid w:val="003E45C3"/>
    <w:rsid w:val="004408EC"/>
    <w:rsid w:val="00481014"/>
    <w:rsid w:val="00495E06"/>
    <w:rsid w:val="00495FED"/>
    <w:rsid w:val="004A3CE7"/>
    <w:rsid w:val="004B4B4B"/>
    <w:rsid w:val="004C0924"/>
    <w:rsid w:val="004C1850"/>
    <w:rsid w:val="004D789E"/>
    <w:rsid w:val="004E4118"/>
    <w:rsid w:val="004F2881"/>
    <w:rsid w:val="0051248B"/>
    <w:rsid w:val="00517BFA"/>
    <w:rsid w:val="00522CC4"/>
    <w:rsid w:val="00522F05"/>
    <w:rsid w:val="005507E7"/>
    <w:rsid w:val="00557AE4"/>
    <w:rsid w:val="00557FA1"/>
    <w:rsid w:val="00564255"/>
    <w:rsid w:val="005E3E62"/>
    <w:rsid w:val="005E6313"/>
    <w:rsid w:val="00601942"/>
    <w:rsid w:val="006049B8"/>
    <w:rsid w:val="00645B95"/>
    <w:rsid w:val="00676073"/>
    <w:rsid w:val="00684159"/>
    <w:rsid w:val="006A2C1D"/>
    <w:rsid w:val="006B29E6"/>
    <w:rsid w:val="006E5294"/>
    <w:rsid w:val="006F6B78"/>
    <w:rsid w:val="007067AA"/>
    <w:rsid w:val="007112BB"/>
    <w:rsid w:val="007132F4"/>
    <w:rsid w:val="00720868"/>
    <w:rsid w:val="00720F31"/>
    <w:rsid w:val="00785BEB"/>
    <w:rsid w:val="007A6B5B"/>
    <w:rsid w:val="007D6AFF"/>
    <w:rsid w:val="00856871"/>
    <w:rsid w:val="00862303"/>
    <w:rsid w:val="00864DCA"/>
    <w:rsid w:val="00873415"/>
    <w:rsid w:val="008823E8"/>
    <w:rsid w:val="00897752"/>
    <w:rsid w:val="008A2A24"/>
    <w:rsid w:val="008A2D3F"/>
    <w:rsid w:val="008A372A"/>
    <w:rsid w:val="008A5329"/>
    <w:rsid w:val="008B541B"/>
    <w:rsid w:val="008C0EE8"/>
    <w:rsid w:val="008D3826"/>
    <w:rsid w:val="008D7D65"/>
    <w:rsid w:val="008D7F1D"/>
    <w:rsid w:val="008D7F24"/>
    <w:rsid w:val="0090517D"/>
    <w:rsid w:val="00910430"/>
    <w:rsid w:val="00916541"/>
    <w:rsid w:val="00925801"/>
    <w:rsid w:val="00936B03"/>
    <w:rsid w:val="00960E9E"/>
    <w:rsid w:val="00972B81"/>
    <w:rsid w:val="00985DBA"/>
    <w:rsid w:val="009876F3"/>
    <w:rsid w:val="009A6E9B"/>
    <w:rsid w:val="009D05D6"/>
    <w:rsid w:val="009E0DB8"/>
    <w:rsid w:val="009F4459"/>
    <w:rsid w:val="00A42DA0"/>
    <w:rsid w:val="00A43E35"/>
    <w:rsid w:val="00A637DA"/>
    <w:rsid w:val="00A73C28"/>
    <w:rsid w:val="00A82CB1"/>
    <w:rsid w:val="00A91969"/>
    <w:rsid w:val="00AA621D"/>
    <w:rsid w:val="00AC1187"/>
    <w:rsid w:val="00B07C2D"/>
    <w:rsid w:val="00B11455"/>
    <w:rsid w:val="00B3645B"/>
    <w:rsid w:val="00B50BBF"/>
    <w:rsid w:val="00B72ADF"/>
    <w:rsid w:val="00B84903"/>
    <w:rsid w:val="00B940DB"/>
    <w:rsid w:val="00B95998"/>
    <w:rsid w:val="00BC3845"/>
    <w:rsid w:val="00BC41EC"/>
    <w:rsid w:val="00BC7F96"/>
    <w:rsid w:val="00BD15A5"/>
    <w:rsid w:val="00C335DD"/>
    <w:rsid w:val="00C45CC2"/>
    <w:rsid w:val="00C50C58"/>
    <w:rsid w:val="00C5298B"/>
    <w:rsid w:val="00C66D71"/>
    <w:rsid w:val="00C733EE"/>
    <w:rsid w:val="00C87B27"/>
    <w:rsid w:val="00CA4945"/>
    <w:rsid w:val="00CC1457"/>
    <w:rsid w:val="00CC3307"/>
    <w:rsid w:val="00CC7026"/>
    <w:rsid w:val="00CF5612"/>
    <w:rsid w:val="00CF6ECB"/>
    <w:rsid w:val="00D0131B"/>
    <w:rsid w:val="00D1684B"/>
    <w:rsid w:val="00D20E64"/>
    <w:rsid w:val="00D2581A"/>
    <w:rsid w:val="00D65E90"/>
    <w:rsid w:val="00D77C48"/>
    <w:rsid w:val="00DA64D2"/>
    <w:rsid w:val="00DE1EA7"/>
    <w:rsid w:val="00DE73A0"/>
    <w:rsid w:val="00E361C3"/>
    <w:rsid w:val="00E4381D"/>
    <w:rsid w:val="00E64AAE"/>
    <w:rsid w:val="00E80AC4"/>
    <w:rsid w:val="00E8130F"/>
    <w:rsid w:val="00E819FA"/>
    <w:rsid w:val="00E82CA0"/>
    <w:rsid w:val="00EA3FFB"/>
    <w:rsid w:val="00EB0578"/>
    <w:rsid w:val="00EB4A2E"/>
    <w:rsid w:val="00F34BB9"/>
    <w:rsid w:val="00F40045"/>
    <w:rsid w:val="00F614FE"/>
    <w:rsid w:val="00F806F4"/>
    <w:rsid w:val="00F9176C"/>
    <w:rsid w:val="00F92BF7"/>
    <w:rsid w:val="00FA598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  <w:style w:type="paragraph" w:styleId="Textbubliny">
    <w:name w:val="Balloon Text"/>
    <w:basedOn w:val="Normln"/>
    <w:link w:val="TextbublinyChar"/>
    <w:uiPriority w:val="99"/>
    <w:semiHidden/>
    <w:unhideWhenUsed/>
    <w:rsid w:val="000206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0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house\Documents\Scholla\___FEL\21rocnik\MVK\6Tyde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house\Documents\Scholla\___FEL\21rocnik\MVK\6Tyde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(Namereno!$A$2,Namereno!$A$4,Namereno!$A$6)</c:f>
              <c:numCache>
                <c:formatCode>General</c:formatCode>
                <c:ptCount val="3"/>
                <c:pt idx="0">
                  <c:v>1310</c:v>
                </c:pt>
                <c:pt idx="1">
                  <c:v>1470</c:v>
                </c:pt>
                <c:pt idx="2">
                  <c:v>1550</c:v>
                </c:pt>
              </c:numCache>
            </c:numRef>
          </c:xVal>
          <c:yVal>
            <c:numRef>
              <c:f>(Namereno!$C$2,Namereno!$C$4,Namereno!$C$6)</c:f>
              <c:numCache>
                <c:formatCode>0.000</c:formatCode>
                <c:ptCount val="3"/>
                <c:pt idx="0">
                  <c:v>1.6000000000000014</c:v>
                </c:pt>
                <c:pt idx="1">
                  <c:v>12.3</c:v>
                </c:pt>
                <c:pt idx="2">
                  <c:v>17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176032"/>
        <c:axId val="371174072"/>
      </c:scatterChart>
      <c:valAx>
        <c:axId val="37117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>
                    <a:latin typeface="Symbol" panose="05050102010706020507" pitchFamily="18" charset="2"/>
                  </a:rPr>
                  <a:t>l</a:t>
                </a:r>
                <a:r>
                  <a:rPr lang="en-US">
                    <a:latin typeface="Symbol" panose="05050102010706020507" pitchFamily="18" charset="2"/>
                  </a:rPr>
                  <a:t>[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nm</a:t>
                </a:r>
                <a:r>
                  <a:rPr lang="en-US">
                    <a:latin typeface="Symbol" panose="05050102010706020507" pitchFamily="18" charset="2"/>
                  </a:rPr>
                  <a:t>]</a:t>
                </a:r>
                <a:endParaRPr lang="cs-CZ">
                  <a:latin typeface="Symbol" panose="05050102010706020507" pitchFamily="18" charset="2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71174072"/>
        <c:crosses val="autoZero"/>
        <c:crossBetween val="midCat"/>
      </c:valAx>
      <c:valAx>
        <c:axId val="371174072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D</a:t>
                </a:r>
                <a:r>
                  <a:rPr lang="en-US"/>
                  <a:t>[ps/</a:t>
                </a:r>
                <a:r>
                  <a:rPr lang="cs-CZ"/>
                  <a:t>(</a:t>
                </a:r>
                <a:r>
                  <a:rPr lang="en-US"/>
                  <a:t>nm*km</a:t>
                </a:r>
                <a:r>
                  <a:rPr lang="cs-CZ"/>
                  <a:t>)</a:t>
                </a:r>
                <a:r>
                  <a:rPr lang="en-US"/>
                  <a:t>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71176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Vypocteno!$A$3:$A$5</c:f>
              <c:numCache>
                <c:formatCode>General</c:formatCode>
                <c:ptCount val="3"/>
                <c:pt idx="0">
                  <c:v>1330</c:v>
                </c:pt>
                <c:pt idx="1">
                  <c:v>1480</c:v>
                </c:pt>
                <c:pt idx="2">
                  <c:v>1560</c:v>
                </c:pt>
              </c:numCache>
            </c:numRef>
          </c:xVal>
          <c:yVal>
            <c:numRef>
              <c:f>Vypocteno!$B$3:$B$5</c:f>
              <c:numCache>
                <c:formatCode>0.00</c:formatCode>
                <c:ptCount val="3"/>
                <c:pt idx="0">
                  <c:v>1.7108983177842574</c:v>
                </c:pt>
                <c:pt idx="1">
                  <c:v>13.081825279245862</c:v>
                </c:pt>
                <c:pt idx="2">
                  <c:v>17.983635864893888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176816"/>
        <c:axId val="371173680"/>
      </c:scatterChart>
      <c:valAx>
        <c:axId val="37117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000" b="0" i="0" baseline="0">
                    <a:effectLst/>
                    <a:latin typeface="Symbol" panose="05050102010706020507" pitchFamily="18" charset="2"/>
                  </a:rPr>
                  <a:t>l</a:t>
                </a:r>
                <a:r>
                  <a:rPr lang="en-US" sz="1000" b="0" i="0" baseline="0">
                    <a:effectLst/>
                  </a:rPr>
                  <a:t>[nm]</a:t>
                </a:r>
                <a:endParaRPr lang="cs-CZ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71173680"/>
        <c:crosses val="autoZero"/>
        <c:crossBetween val="midCat"/>
      </c:valAx>
      <c:valAx>
        <c:axId val="37117368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000" b="0" i="0" baseline="0">
                    <a:effectLst/>
                  </a:rPr>
                  <a:t>D</a:t>
                </a:r>
                <a:r>
                  <a:rPr lang="en-US" sz="1000" b="0" i="0" baseline="0">
                    <a:effectLst/>
                  </a:rPr>
                  <a:t>[ps/</a:t>
                </a:r>
                <a:r>
                  <a:rPr lang="cs-CZ" sz="1000" b="0" i="0" baseline="0">
                    <a:effectLst/>
                  </a:rPr>
                  <a:t>(</a:t>
                </a:r>
                <a:r>
                  <a:rPr lang="en-US" sz="1000" b="0" i="0" baseline="0">
                    <a:effectLst/>
                  </a:rPr>
                  <a:t>nm*km</a:t>
                </a:r>
                <a:r>
                  <a:rPr lang="cs-CZ" sz="1000" b="0" i="0" baseline="0">
                    <a:effectLst/>
                  </a:rPr>
                  <a:t>)</a:t>
                </a:r>
                <a:r>
                  <a:rPr lang="en-US" sz="1000" b="0" i="0" baseline="0">
                    <a:effectLst/>
                  </a:rPr>
                  <a:t>]</a:t>
                </a:r>
                <a:endParaRPr lang="cs-CZ" sz="1000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71176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A1943E0-AD5F-4A0D-9165-98810415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5</Pages>
  <Words>535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38</cp:revision>
  <cp:lastPrinted>2015-10-29T08:27:00Z</cp:lastPrinted>
  <dcterms:created xsi:type="dcterms:W3CDTF">2015-10-13T07:56:00Z</dcterms:created>
  <dcterms:modified xsi:type="dcterms:W3CDTF">2015-11-19T01:09:00Z</dcterms:modified>
</cp:coreProperties>
</file>