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Template 4: Due Diligence Prep Binder Index</w:t>
      </w:r>
    </w:p>
    <w:p>
      <w:pPr>
        <w:pStyle w:val="Heading2"/>
      </w:pPr>
      <w:r>
        <w:t>Overview</w:t>
      </w:r>
    </w:p>
    <w:p>
      <w:r>
        <w:t>The Due Diligence Binder Index is a master list of documents buyers, investors, or successors will expect to see during the exit process. Organizing these materials upfront saves time, builds buyer confidence, and prevents last‑minute surprises. This index serves as both a checklist and a filing structure for your “data room.”</w:t>
      </w:r>
    </w:p>
    <w:p>
      <w:pPr>
        <w:pStyle w:val="Heading2"/>
      </w:pPr>
      <w:r>
        <w:t>Instructions</w:t>
      </w:r>
    </w:p>
    <w:p>
      <w:r>
        <w:t>- Use this index as your folder structure (both physical binder and digital “data room”).</w:t>
        <w:br/>
        <w:t>- Check off each item as you upload or insert the document.</w:t>
        <w:br/>
        <w:t>- Add subfolders or custom sections based on your industry.</w:t>
        <w:br/>
        <w:t>- Review and update quarterly to ensure materials are always exit‑ready.</w:t>
      </w:r>
    </w:p>
    <w:p>
      <w:pPr>
        <w:pStyle w:val="Heading2"/>
      </w:pPr>
      <w:r>
        <w:t>Due Diligence Binder Index</w:t>
      </w:r>
    </w:p>
    <w:p>
      <w:pPr>
        <w:pStyle w:val="Heading3"/>
      </w:pPr>
      <w:r>
        <w:t>Corporate Documents</w:t>
      </w:r>
    </w:p>
    <w:p>
      <w:pPr>
        <w:pStyle w:val="ListBullet"/>
      </w:pPr>
      <w:r>
        <w:t>[ ] Articles of Incorporation / Bylaws</w:t>
      </w:r>
    </w:p>
    <w:p>
      <w:pPr>
        <w:pStyle w:val="ListBullet"/>
      </w:pPr>
      <w:r>
        <w:t>[ ] Board minutes &amp; resolutions</w:t>
      </w:r>
    </w:p>
    <w:p>
      <w:pPr>
        <w:pStyle w:val="ListBullet"/>
      </w:pPr>
      <w:r>
        <w:t>[ ] Shareholder agreements</w:t>
      </w:r>
    </w:p>
    <w:p>
      <w:pPr>
        <w:pStyle w:val="ListBullet"/>
      </w:pPr>
      <w:r>
        <w:t>[ ] Buy-sell agreements</w:t>
      </w:r>
    </w:p>
    <w:p>
      <w:pPr>
        <w:pStyle w:val="Heading3"/>
      </w:pPr>
      <w:r>
        <w:t>Financial Records</w:t>
      </w:r>
    </w:p>
    <w:p>
      <w:pPr>
        <w:pStyle w:val="ListBullet"/>
      </w:pPr>
      <w:r>
        <w:t>[ ] Audited financial statements (3–5 years)</w:t>
      </w:r>
    </w:p>
    <w:p>
      <w:pPr>
        <w:pStyle w:val="ListBullet"/>
      </w:pPr>
      <w:r>
        <w:t>[ ] Tax returns (3–5 years)</w:t>
      </w:r>
    </w:p>
    <w:p>
      <w:pPr>
        <w:pStyle w:val="ListBullet"/>
      </w:pPr>
      <w:r>
        <w:t>[ ] General ledger &amp; trial balances</w:t>
      </w:r>
    </w:p>
    <w:p>
      <w:pPr>
        <w:pStyle w:val="ListBullet"/>
      </w:pPr>
      <w:r>
        <w:t>[ ] Bank statements &amp; loan documents</w:t>
      </w:r>
    </w:p>
    <w:p>
      <w:pPr>
        <w:pStyle w:val="Heading3"/>
      </w:pPr>
      <w:r>
        <w:t>Legal &amp; Compliance</w:t>
      </w:r>
    </w:p>
    <w:p>
      <w:pPr>
        <w:pStyle w:val="ListBullet"/>
      </w:pPr>
      <w:r>
        <w:t>[ ] Business licenses &amp; permits</w:t>
      </w:r>
    </w:p>
    <w:p>
      <w:pPr>
        <w:pStyle w:val="ListBullet"/>
      </w:pPr>
      <w:r>
        <w:t>[ ] Contracts (customers, vendors, employees)</w:t>
      </w:r>
    </w:p>
    <w:p>
      <w:pPr>
        <w:pStyle w:val="ListBullet"/>
      </w:pPr>
      <w:r>
        <w:t>[ ] Insurance policies</w:t>
      </w:r>
    </w:p>
    <w:p>
      <w:pPr>
        <w:pStyle w:val="ListBullet"/>
      </w:pPr>
      <w:r>
        <w:t>[ ] Pending or past litigation files</w:t>
      </w:r>
    </w:p>
    <w:p>
      <w:pPr>
        <w:pStyle w:val="Heading3"/>
      </w:pPr>
      <w:r>
        <w:t>Human Resources</w:t>
      </w:r>
    </w:p>
    <w:p>
      <w:pPr>
        <w:pStyle w:val="ListBullet"/>
      </w:pPr>
      <w:r>
        <w:t>[ ] Employee agreements &amp; job descriptions</w:t>
      </w:r>
    </w:p>
    <w:p>
      <w:pPr>
        <w:pStyle w:val="ListBullet"/>
      </w:pPr>
      <w:r>
        <w:t>[ ] Compensation &amp; benefits plans</w:t>
      </w:r>
    </w:p>
    <w:p>
      <w:pPr>
        <w:pStyle w:val="ListBullet"/>
      </w:pPr>
      <w:r>
        <w:t>[ ] Non-compete / confidentiality agreements</w:t>
      </w:r>
    </w:p>
    <w:p>
      <w:pPr>
        <w:pStyle w:val="ListBullet"/>
      </w:pPr>
      <w:r>
        <w:t>[ ] Organizational chart</w:t>
      </w:r>
    </w:p>
    <w:p>
      <w:pPr>
        <w:pStyle w:val="Heading3"/>
      </w:pPr>
      <w:r>
        <w:t>Intellectual Property</w:t>
      </w:r>
    </w:p>
    <w:p>
      <w:pPr>
        <w:pStyle w:val="ListBullet"/>
      </w:pPr>
      <w:r>
        <w:t>[ ] Trademarks, patents, copyrights</w:t>
      </w:r>
    </w:p>
    <w:p>
      <w:pPr>
        <w:pStyle w:val="ListBullet"/>
      </w:pPr>
      <w:r>
        <w:t>[ ] Domain names &amp; software licenses</w:t>
      </w:r>
    </w:p>
    <w:p>
      <w:pPr>
        <w:pStyle w:val="ListBullet"/>
      </w:pPr>
      <w:r>
        <w:t>[ ] Proprietary technology documentation</w:t>
      </w:r>
    </w:p>
    <w:p>
      <w:pPr>
        <w:pStyle w:val="Heading3"/>
      </w:pPr>
      <w:r>
        <w:t>Operations &amp; Systems</w:t>
      </w:r>
    </w:p>
    <w:p>
      <w:pPr>
        <w:pStyle w:val="ListBullet"/>
      </w:pPr>
      <w:r>
        <w:t>[ ] Standard Operating Procedures (SOPs)</w:t>
      </w:r>
    </w:p>
    <w:p>
      <w:pPr>
        <w:pStyle w:val="ListBullet"/>
      </w:pPr>
      <w:r>
        <w:t>[ ] Key vendor &amp; supplier agreements</w:t>
      </w:r>
    </w:p>
    <w:p>
      <w:pPr>
        <w:pStyle w:val="ListBullet"/>
      </w:pPr>
      <w:r>
        <w:t>[ ] Facilities leases &amp; property records</w:t>
      </w:r>
    </w:p>
    <w:p>
      <w:pPr>
        <w:pStyle w:val="ListBullet"/>
      </w:pPr>
      <w:r>
        <w:t>[ ] IT systems &amp; security policies</w:t>
      </w:r>
    </w:p>
    <w:p>
      <w:pPr>
        <w:pStyle w:val="Heading3"/>
      </w:pPr>
      <w:r>
        <w:t>Other</w:t>
      </w:r>
    </w:p>
    <w:p>
      <w:pPr>
        <w:pStyle w:val="ListBullet"/>
      </w:pPr>
      <w:r>
        <w:t>[ ] Marketing &amp; branding assets</w:t>
      </w:r>
    </w:p>
    <w:p>
      <w:pPr>
        <w:pStyle w:val="ListBullet"/>
      </w:pPr>
      <w:r>
        <w:t>[ ] Customer lists &amp; contracts</w:t>
      </w:r>
    </w:p>
    <w:p>
      <w:pPr>
        <w:pStyle w:val="ListBullet"/>
      </w:pPr>
      <w:r>
        <w:t>[ ] Community/CSR commitments</w:t>
      </w:r>
    </w:p>
    <w:p>
      <w:pPr>
        <w:pStyle w:val="ListBullet"/>
      </w:pPr>
      <w:r>
        <w:t>[ ] Miscellaneous supporting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