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5: Exit Timeline Roadmap (Gantt-style)</w:t>
      </w:r>
    </w:p>
    <w:p>
      <w:pPr>
        <w:pStyle w:val="Heading2"/>
      </w:pPr>
      <w:r>
        <w:t>Overview</w:t>
      </w:r>
    </w:p>
    <w:p>
      <w:r>
        <w:t>This roadmap provides a structured timeline of activities for a successful business exit. Designed in a Gantt-style format, it breaks down key milestones from 3–5 years out through closing and post-exit. Using this tool helps you stay on schedule, monitor progress, and ensure nothing falls through the cracks.</w:t>
      </w:r>
    </w:p>
    <w:p>
      <w:pPr>
        <w:pStyle w:val="Heading2"/>
      </w:pPr>
      <w:r>
        <w:t>Instructions</w:t>
      </w:r>
    </w:p>
    <w:p>
      <w:r>
        <w:t>- Use this template to map out your exit over a 3–5 year horizon.</w:t>
        <w:br/>
        <w:t>- Fill in dates or quarters for each milestone.</w:t>
        <w:br/>
        <w:t>- Track progress by updating completion status regularly.</w:t>
        <w:br/>
        <w:t>- Customize with additional rows based on your industry or exit strategy.</w:t>
        <w:br/>
        <w:t>- Review and adjust annually to reflect changing conditions.</w:t>
      </w:r>
    </w:p>
    <w:p>
      <w:pPr>
        <w:pStyle w:val="Heading2"/>
      </w:pPr>
      <w:r>
        <w:t>Exit Timeline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Milestone</w:t>
            </w:r>
          </w:p>
        </w:tc>
        <w:tc>
          <w:tcPr>
            <w:tcW w:type="dxa" w:w="1440"/>
          </w:tcPr>
          <w:p>
            <w:r>
              <w:t>3–5 Years Out</w:t>
            </w:r>
          </w:p>
        </w:tc>
        <w:tc>
          <w:tcPr>
            <w:tcW w:type="dxa" w:w="1440"/>
          </w:tcPr>
          <w:p>
            <w:r>
              <w:t>2–3 Years Out</w:t>
            </w:r>
          </w:p>
        </w:tc>
        <w:tc>
          <w:tcPr>
            <w:tcW w:type="dxa" w:w="1440"/>
          </w:tcPr>
          <w:p>
            <w:r>
              <w:t>1–2 Years Out</w:t>
            </w:r>
          </w:p>
        </w:tc>
        <w:tc>
          <w:tcPr>
            <w:tcW w:type="dxa" w:w="1440"/>
          </w:tcPr>
          <w:p>
            <w:r>
              <w:t>6–12 Months Out</w:t>
            </w:r>
          </w:p>
        </w:tc>
        <w:tc>
          <w:tcPr>
            <w:tcW w:type="dxa" w:w="1440"/>
          </w:tcPr>
          <w:p>
            <w:r>
              <w:t>Closing &amp; Post-Exit</w:t>
            </w:r>
          </w:p>
        </w:tc>
      </w:tr>
      <w:tr>
        <w:tc>
          <w:tcPr>
            <w:tcW w:type="dxa" w:w="1440"/>
          </w:tcPr>
          <w:p>
            <w:r>
              <w:t>Define personal &amp; business goals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Choose exit structure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Estate planning &amp; tax strategy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Clean up financials &amp; audits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Strengthen contracts &amp; compliance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Document SOPs &amp; reduce founder dependence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Leadership grooming &amp; succession planning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Conduct valuation &amp; due diligence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Engage advisors / brokers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Finalize transition &amp; communication plans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