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ISTSS 2026 — Talk Scripts (STROBE order)</w:t>
      </w:r>
    </w:p>
    <w:p>
      <w:r>
        <w:t>Thursday 24 September 2026, Salon C. Talk 2 (on behalf of Dr. Salma Abdalla) runs straight into Talk 3 without a pause. The scripts below are identical to the speaker notes in each deck.</w:t>
      </w:r>
    </w:p>
    <w:p>
      <w:pPr>
        <w:pStyle w:val="Heading1"/>
      </w:pPr>
      <w:r>
        <w:t>Talk 2 — Prevalence and Predictors (on behalf of Dr. Salma Abdalla)</w:t>
      </w:r>
    </w:p>
    <w:p>
      <w:pPr>
        <w:spacing w:before="200"/>
      </w:pPr>
      <w:r>
        <w:rPr>
          <w:b/>
        </w:rPr>
        <w:t>[Slide 1] Prevalence and Predictors of PTSD, Depression, and Anxiety Among Persons Exposed to Diverse Forms of Armed Violence Across Six Nigerian States</w:t>
      </w:r>
    </w:p>
    <w:p>
      <w:r>
        <w:t>Thank you, Jaimie. I am presenting this paper on behalf of Dr. Salma Abdalla, who led the analysis and could not be here today. Jaimie has shown that the instruments hold in this population, provided they are calibrated. This paper puts them to work across the country and asks two questions: how large is the burden, and what, besides trauma itself, drives it?</w:t>
      </w:r>
    </w:p>
    <w:p>
      <w:pPr>
        <w:spacing w:before="200"/>
      </w:pPr>
      <w:r>
        <w:rPr>
          <w:b/>
        </w:rPr>
        <w:t xml:space="preserve">[Slide 2] Continuing Medical Education Financial Disclosure </w:t>
      </w:r>
    </w:p>
    <w:p>
      <w:r>
        <w:t>Dr. Abdalla has no financial relationships to disclose.</w:t>
      </w:r>
    </w:p>
    <w:p>
      <w:pPr>
        <w:spacing w:before="200"/>
      </w:pPr>
      <w:r>
        <w:rPr>
          <w:b/>
        </w:rPr>
        <w:t>[Slide 3 · Introduction] Background: Conflict Landscape</w:t>
      </w:r>
    </w:p>
    <w:p>
      <w:r>
        <w:t>Jaimie described the landscape, so I will be brief. Nigeria has no single conflict. It has insurgency in the northeast, banditry and mass kidnapping in the northwest, farmer–herder conflict in the Middle Belt, separatist violence in the southeast, and cult violence in the Niger Delta. All three recognised forms of organised violence are present at once: conflict involving the state, conflict between armed groups, and violence aimed directly at civilians. Together they have displaced more than three million people.</w:t>
      </w:r>
    </w:p>
    <w:p>
      <w:pPr>
        <w:spacing w:before="200"/>
      </w:pPr>
      <w:r>
        <w:rPr>
          <w:b/>
        </w:rPr>
        <w:t>[Slide 4 · Introduction] Background: Economic Context and Mental Health Capacity</w:t>
      </w:r>
    </w:p>
    <w:p>
      <w:r>
        <w:t>That violence falls on a population under severe economic pressure. Income per person fell from about 3,100 dollars in 2014 to about 800 in 2024. The mental health system cannot absorb the result: about 0.6 mental health workers per 100,000 people, against a WHO benchmark of 5, roughly 250 psychiatrists for more than 200 million people, and fewer than one in ten people who need care receive any.</w:t>
      </w:r>
    </w:p>
    <w:p>
      <w:pPr>
        <w:spacing w:before="200"/>
      </w:pPr>
      <w:r>
        <w:rPr>
          <w:b/>
        </w:rPr>
        <w:t>[Slide 5 · Introduction] Rationale: The Evidence Gap</w:t>
      </w:r>
    </w:p>
    <w:p>
      <w:r>
        <w:t>Until now the evidence has been fragmented. Most studies were hospital-based or drawn from a single camp, used instruments never validated here, and, as Jaimie showed, produced estimates that vary too widely to guide planning. No study had estimated prevalence across several states using population sampling. The Federal Ministry needs exactly that to implement the Mental Health Act, which is why it co-owns this study.</w:t>
      </w:r>
    </w:p>
    <w:p>
      <w:pPr>
        <w:spacing w:before="200"/>
      </w:pPr>
      <w:r>
        <w:rPr>
          <w:b/>
        </w:rPr>
        <w:t>[Slide 6 · Introduction] Objectives</w:t>
      </w:r>
    </w:p>
    <w:p>
      <w:r>
        <w:t>The paper has three objectives: to estimate the prevalence of PTSD, depression, and anxiety across all six geopolitical zones; to identify the factors associated with each; and to separate two pathways that are usually tangled together, the trauma a person has lived through and the conditions displacement has placed them in.</w:t>
      </w:r>
    </w:p>
    <w:p>
      <w:pPr>
        <w:spacing w:before="200"/>
      </w:pPr>
      <w:r>
        <w:rPr>
          <w:b/>
        </w:rPr>
        <w:t>[Slide 7 · Methods] Study Design and Setting</w:t>
      </w:r>
    </w:p>
    <w:p>
      <w:r>
        <w:t>This is a cross-sectional, population-based survey. We selected one state in each geopolitical zone: Sokoto, Borno, Benue, Ogun, Enugu, and Rivers. Five are affected by different forms of violence; Ogun, in the southwest, serves as the comparison state. In each state we sampled two local government areas, one urban and one rural, and within them seventy wards and their communities. Households were selected systematically from a random start.</w:t>
      </w:r>
    </w:p>
    <w:p>
      <w:pPr>
        <w:spacing w:before="200"/>
      </w:pPr>
      <w:r>
        <w:rPr>
          <w:b/>
        </w:rPr>
        <w:t>[Slide 8 · Methods] Participants and Study Size</w:t>
      </w:r>
    </w:p>
    <w:p>
      <w:r>
        <w:t>Participants were adults aged 18 or older who had lived in the community for at least six months. Camps for internally displaced people were sampled by the same procedure in the three states that have them. The result is 1,774 adults, interviewed face to face between August and December 2025 by teams working with AFENET and the Federal Ministry of Health and Social Welfare.</w:t>
      </w:r>
    </w:p>
    <w:p>
      <w:pPr>
        <w:spacing w:before="200"/>
      </w:pPr>
      <w:r>
        <w:rPr>
          <w:b/>
        </w:rPr>
        <w:t>[Slide 9 · Methods] Variables: Outcomes and Cut-Offs</w:t>
      </w:r>
    </w:p>
    <w:p>
      <w:r>
        <w:t>The outcomes use the thresholds from Jaimie's validation: probable PTSD at a PCL-5 score of 38 or more, and probable depression at a PHQ-9 score of 10 or more. For anxiety we used the international GAD-7 threshold of 10, and, given what Jaimie showed about its discrimination, we read the anxiety estimates with caution.</w:t>
      </w:r>
    </w:p>
    <w:p>
      <w:pPr>
        <w:spacing w:before="200"/>
      </w:pPr>
      <w:r>
        <w:rPr>
          <w:b/>
        </w:rPr>
        <w:t>[Slide 10 · Methods] Variables: Exposures and Covariates</w:t>
      </w:r>
    </w:p>
    <w:p>
      <w:r>
        <w:t>Trauma exposure is a count of lifetime event types from an adapted Life Events Checklist. Camp residence was verified by the field team at the time of sampling. The covariates are sex, age group, education, marital status, state, and urban or rural setting.</w:t>
      </w:r>
    </w:p>
    <w:p>
      <w:pPr>
        <w:spacing w:before="200"/>
      </w:pPr>
      <w:r>
        <w:rPr>
          <w:b/>
        </w:rPr>
        <w:t>[Slide 11 · Methods] Bias</w:t>
      </w:r>
    </w:p>
    <w:p>
      <w:r>
        <w:t>We addressed four sources of bias. Outcome misclassification, through case definitions validated against psychiatrist interview in this population. Measurement error, through standardized tablet-based interviews with built-in checks. Over-adjustment: daily stressors and food insecurity are likely part of the pathway from camp life to symptoms, so we kept them out of the models; adjusting for them would hide the effect we are trying to measure. And selection into camps, which Model B addresses by adjusting for trauma.</w:t>
      </w:r>
    </w:p>
    <w:p>
      <w:pPr>
        <w:spacing w:before="200"/>
      </w:pPr>
      <w:r>
        <w:rPr>
          <w:b/>
        </w:rPr>
        <w:t>[Slide 12 · Methods] Statistical Analysis</w:t>
      </w:r>
    </w:p>
    <w:p>
      <w:r>
        <w:t>We fit two models, each with one focal exposure. Model A asks about trauma: each additional event, adjusted for demographics and geography. Model B asks about camp residence and adds the trauma count to the adjustment, so the camp estimate is the camp's association over and above the events people report. Both are modified Poisson regressions giving prevalence ratios, with variances that respect the clustered design. Multilevel models estimate how much of the variation lies between communities.</w:t>
      </w:r>
    </w:p>
    <w:p>
      <w:pPr>
        <w:spacing w:before="200"/>
      </w:pPr>
      <w:r>
        <w:rPr>
          <w:b/>
        </w:rPr>
        <w:t>[Slide 13 · Results] Participant Flow</w:t>
      </w:r>
    </w:p>
    <w:p>
      <w:r>
        <w:t>Of the 1,774 adults interviewed, 1,732 had complete outcome and covariate data and enter the adjusted models. This is a complete-case analysis; 42 people were excluded for missing data.</w:t>
      </w:r>
    </w:p>
    <w:p>
      <w:pPr>
        <w:spacing w:before="200"/>
      </w:pPr>
      <w:r>
        <w:rPr>
          <w:b/>
        </w:rPr>
        <w:t>[Slide 14 · Results] Descriptive Data</w:t>
      </w:r>
    </w:p>
    <w:p>
      <w:r>
        <w:t>The sample reflects the six zones. Mean age was 41; 55 percent were women. Quranic education is concentrated in Borno and Sokoto, and tertiary education in Enugu and Rivers. A quarter of participants lived in camps. Two thirds were moderately or severely food insecure. On average, people reported one and a half types of traumatic event, and 18 percent reported three or more.</w:t>
      </w:r>
    </w:p>
    <w:p>
      <w:pPr>
        <w:spacing w:before="200"/>
      </w:pPr>
      <w:r>
        <w:rPr>
          <w:b/>
        </w:rPr>
        <w:t>[Slide 15 · Results] Outcome Data: Prevalence</w:t>
      </w:r>
    </w:p>
    <w:p>
      <w:r>
        <w:t>Design-adjusted prevalence was 18.5 percent for probable PTSD, 21 percent for depression, and 20.7 percent for anxiety: at least one adult in five met criteria for each condition, and 30.4 percent met criteria for at least one. Those of you who read the program will see slightly different figures there; the abstract carried preliminary estimates, and these are the final estimates from the fully cleaned sample. The conditions travel together: among people with any condition, more than a third met criteria for all three. The design effects, close to seven, are the first sign that the burden clusters by community.</w:t>
      </w:r>
    </w:p>
    <w:p>
      <w:pPr>
        <w:spacing w:before="200"/>
      </w:pPr>
      <w:r>
        <w:rPr>
          <w:b/>
        </w:rPr>
        <w:t>[Slide 16 · Results] Outcome Data: Variation by State, Residence, and Trauma</w:t>
      </w:r>
    </w:p>
    <w:p>
      <w:r>
        <w:t>Before adjustment, the variation is striking. PTSD prevalence ranges from 1.5 percent in Ogun to 42 percent in Benue, a 28-fold difference. Camp residents have about four times the prevalence of people living in communities: 40 percent against 11. And trauma shows a clear gradient: 8 percent among people with no traumatic events, 45 percent among those with five or more. The question is which of these survives adjustment.</w:t>
      </w:r>
    </w:p>
    <w:p>
      <w:pPr>
        <w:spacing w:before="200"/>
      </w:pPr>
      <w:r>
        <w:rPr>
          <w:b/>
        </w:rPr>
        <w:t>[Slide 17 · Results] Main Results: Adjusted Prevalence Ratios</w:t>
      </w:r>
    </w:p>
    <w:p>
      <w:r>
        <w:t>Both do. In Model A, each additional traumatic event is associated with about 15 percent higher prevalence of each condition. In Model B, living in a camp is associated with roughly twice the prevalence of PTSD and depression and nearly three times the prevalence of anxiety, after accounting for trauma. The trauma estimates hardly move when camp residence enters the model. These are two separable pathways: what happened to people, and where they now live.</w:t>
      </w:r>
    </w:p>
    <w:p>
      <w:pPr>
        <w:spacing w:before="200"/>
      </w:pPr>
      <w:r>
        <w:rPr>
          <w:b/>
        </w:rPr>
        <w:t>[Slide 18 · Results] Other Analyses: Interaction and Sensitivity</w:t>
      </w:r>
    </w:p>
    <w:p>
      <w:r>
        <w:t>Two further analyses. The association between trauma and outcomes is not the same everywhere. It is steepest in Enugu and Rivers, where exposure is lowest, and nearly flat in Borno, where exposure is highest. Keep that result in mind; my own paper begins there. The findings hold under post-stratification weights, the international PCL-5 threshold of 33, local government fixed effects, continuous scores, and multilevel models.</w:t>
      </w:r>
    </w:p>
    <w:p>
      <w:pPr>
        <w:spacing w:before="200"/>
      </w:pPr>
      <w:r>
        <w:rPr>
          <w:b/>
        </w:rPr>
        <w:t>[Slide 19 · Results] Other Analyses: Clustering</w:t>
      </w:r>
    </w:p>
    <w:p>
      <w:r>
        <w:t>The intraclass correlations are unusually high: 0.86 for PTSD before adjustment, and between 0.49 and 0.62 after full adjustment. After everything we can measure, about half of the remaining variation lies between communities, not between neighbours. The burden belongs to places as much as to people.</w:t>
      </w:r>
    </w:p>
    <w:p>
      <w:pPr>
        <w:spacing w:before="200"/>
      </w:pPr>
      <w:r>
        <w:rPr>
          <w:b/>
        </w:rPr>
        <w:t>[Slide 20 · Discussion] Key Results</w:t>
      </w:r>
    </w:p>
    <w:p>
      <w:r>
        <w:t>To summarise the key results: at least one adult in five met criteria for each condition, and 30 percent for at least one. Camp residents carry about four times the PTSD burden of community residents, and that association holds after adjustment for trauma. And much of the variation lies between communities.</w:t>
      </w:r>
    </w:p>
    <w:p>
      <w:pPr>
        <w:spacing w:before="200"/>
      </w:pPr>
      <w:r>
        <w:rPr>
          <w:b/>
        </w:rPr>
        <w:t>[Slide 21 · Discussion] Limitations</w:t>
      </w:r>
    </w:p>
    <w:p>
      <w:r>
        <w:t>The limitations are the ones you would expect. The design is cross-sectional. The states were chosen purposively, so these are not national estimates. Camps exist in only three states. And people may enter camps partly because they were more affected, although adjusting for trauma addresses the most obvious form of that selection.</w:t>
      </w:r>
    </w:p>
    <w:p>
      <w:pPr>
        <w:spacing w:before="200"/>
      </w:pPr>
      <w:r>
        <w:rPr>
          <w:b/>
        </w:rPr>
        <w:t>[Slide 22 · Discussion] Interpretation and Generalisability</w:t>
      </w:r>
    </w:p>
    <w:p>
      <w:r>
        <w:t>Three implications. First, the post-displacement environment is an intervention target in its own right: treating individual trauma leaves the camp pathway untouched, and shelter, safety, livelihoods, and services act as mental health interventions in camps. Second, the clustering argues for delivering services by community, not only by screening individuals. Third, because the associations held across six zones that differ in conflict type, religion, language, and economy, we expect them to transfer to other violence-affected settings with similar displacement conditions. These are the estimates the Ministry needs to implement the Mental Health Act.</w:t>
      </w:r>
    </w:p>
    <w:p>
      <w:r>
        <w:t>[Handover, no pause] That is Dr. Abdalla's paper. I want to stay with one of her results, the flat trauma gradient in Borno, because that is where my own paper begins.</w:t>
      </w:r>
    </w:p>
    <w:p>
      <w:r>
        <w:rPr>
          <w:i/>
        </w:rPr>
        <w:t>About 1389 words, roughly 10.7 minutes at 130 words per minute.</w:t>
      </w:r>
    </w:p>
    <w:p>
      <w:pPr>
        <w:pStyle w:val="Heading1"/>
      </w:pPr>
      <w:r>
        <w:t>Talk 3 — Trauma Saturation</w:t>
      </w:r>
    </w:p>
    <w:p>
      <w:pPr>
        <w:spacing w:before="200"/>
      </w:pPr>
      <w:r>
        <w:rPr>
          <w:b/>
        </w:rPr>
        <w:t>[Slide 1] When More Trauma Means Less Stress Sensitivity</w:t>
      </w:r>
    </w:p>
    <w:p>
      <w:r>
        <w:t>My paper uses the same survey and asks a different question. Dr. Abdalla showed that trauma and camp residence each raise the burden. I want to ask whether trauma changes what everyday stress does to people.</w:t>
      </w:r>
    </w:p>
    <w:p>
      <w:pPr>
        <w:spacing w:before="200"/>
      </w:pPr>
      <w:r>
        <w:rPr>
          <w:b/>
        </w:rPr>
        <w:t xml:space="preserve">[Slide 2] Continuing Medical Education Financial Disclosure </w:t>
      </w:r>
    </w:p>
    <w:p>
      <w:r>
        <w:t>I have no financial relationships to disclose.</w:t>
      </w:r>
    </w:p>
    <w:p>
      <w:pPr>
        <w:spacing w:before="200"/>
      </w:pPr>
      <w:r>
        <w:rPr>
          <w:b/>
        </w:rPr>
        <w:t>[Slide 3 · Introduction] Background</w:t>
      </w:r>
    </w:p>
    <w:p>
      <w:r>
        <w:t>People in this population carry two kinds of load. One is the traumatic events: assault, armed attack, disaster. The other is the daily grind: losing a job, struggling to pay rent, family breakdown, isolation. Most humanitarian programming assumes the two simply add, so reducing stress helps everyone equally. Whether that is true decides who benefits from which intervention, and the literature offers three accounts that predict different answers.</w:t>
      </w:r>
    </w:p>
    <w:p>
      <w:pPr>
        <w:spacing w:before="200"/>
      </w:pPr>
      <w:r>
        <w:rPr>
          <w:b/>
        </w:rPr>
        <w:t>[Slide 4 · Introduction] Background: Building-Block Model</w:t>
      </w:r>
    </w:p>
    <w:p>
      <w:r>
        <w:t>The first is the building-block model of Miller and Rasmussen. Trauma and daily stressors each add risk independently. Trauma raises the whole line; each stressor adds the same amount whoever you are. The implication is that stress reduction helps everyone equally.</w:t>
      </w:r>
    </w:p>
    <w:p>
      <w:pPr>
        <w:spacing w:before="200"/>
      </w:pPr>
      <w:r>
        <w:rPr>
          <w:b/>
        </w:rPr>
        <w:t>[Slide 5 · Introduction] Background: Stress Sensitization</w:t>
      </w:r>
    </w:p>
    <w:p>
      <w:r>
        <w:t>The second is stress sensitization, from Hammen and from McLaughlin's work on childhood adversity. Trauma lowers the threshold at which stress produces symptoms, so each added stressor does more harm among people with more trauma. If that is right, stress reduction does the most good for the most exposed.</w:t>
      </w:r>
    </w:p>
    <w:p>
      <w:pPr>
        <w:spacing w:before="200"/>
      </w:pPr>
      <w:r>
        <w:rPr>
          <w:b/>
        </w:rPr>
        <w:t>[Slide 6 · Introduction] Rationale: Saturation, Never Formally Tested</w:t>
      </w:r>
    </w:p>
    <w:p>
      <w:r>
        <w:t>The third is less developed. Studies of Syrian and Burundian refugees found that stress sensitivity diminished among the most exposed: their symptoms were high and stopped tracking current stress. Nobody had formally tested the shape of this interaction, across several outcomes, in an African conflict setting, in a population where exposure runs this high. That is the gap this paper addresses.</w:t>
      </w:r>
    </w:p>
    <w:p>
      <w:pPr>
        <w:spacing w:before="200"/>
      </w:pPr>
      <w:r>
        <w:rPr>
          <w:b/>
        </w:rPr>
        <w:t>[Slide 7 · Introduction] Objectives and Hypotheses</w:t>
      </w:r>
    </w:p>
    <w:p>
      <w:r>
        <w:t>Our objective was to test whether trauma exposure modifies the association between socioeconomic stressors and PTSD, depression, and anxiety. We had two hypotheses. First, that the trauma-by-stressor interaction is real, meaning the two exposures do not simply add. Second, that the interaction is negative: stress sensitivity diminishes with extensive trauma, which is saturation, not sensitization.</w:t>
      </w:r>
    </w:p>
    <w:p>
      <w:pPr>
        <w:spacing w:before="200"/>
      </w:pPr>
      <w:r>
        <w:rPr>
          <w:b/>
        </w:rPr>
        <w:t>[Slide 8 · Methods] Study Design, Setting, and Participants</w:t>
      </w:r>
    </w:p>
    <w:p>
      <w:r>
        <w:t>This is the survey you have just seen: a cross-sectional, population-based sample from six states, one per geopolitical zone, fielded between August and December 2025. Ogun matters here. It gives us people with little or no trauma exposure, which is where the stress gradient turns out to live.</w:t>
      </w:r>
    </w:p>
    <w:p>
      <w:pPr>
        <w:spacing w:before="200"/>
      </w:pPr>
      <w:r>
        <w:rPr>
          <w:b/>
        </w:rPr>
        <w:t>[Slide 9 · Methods] Variables and Measurement</w:t>
      </w:r>
    </w:p>
    <w:p>
      <w:r>
        <w:t>The outcomes are the same: PCL-5 at 38, PHQ-9 at 10, and GAD-7 at 10, read cautiously. Trauma is the count of twelve event types from the adapted Life Events Checklist. Daily stressors are a ten-item count developed for Nigeria, covering job loss, rent, eviction, family disruption, and isolation. All models adjust for age, gender, education, and state.</w:t>
      </w:r>
    </w:p>
    <w:p>
      <w:pPr>
        <w:spacing w:before="200"/>
      </w:pPr>
      <w:r>
        <w:rPr>
          <w:b/>
        </w:rPr>
        <w:t>[Slide 10 · Methods] Bias</w:t>
      </w:r>
    </w:p>
    <w:p>
      <w:r>
        <w:t>We addressed bias on four fronts. The 37 people who declined the trauma items are treated as missing, not as unexposed, and we checked every count against the item-level answers. All models adjust for age, gender, education, and state. Stressor burden rises with trauma, so the interaction had to be tested formally, with adjustment. And each route to a statistical artifact, from ratio-scale compression to the choice of cut-off to an imposed functional form, has its own prespecified analysis.</w:t>
      </w:r>
    </w:p>
    <w:p>
      <w:pPr>
        <w:spacing w:before="200"/>
      </w:pPr>
      <w:r>
        <w:rPr>
          <w:b/>
        </w:rPr>
        <w:t>[Slide 11 · Methods] Statistical Analysis: Spline Model</w:t>
      </w:r>
    </w:p>
    <w:p>
      <w:r>
        <w:t>Two analytic choices carry the argument. The first concerns how we enter trauma. In the dissertation version we grouped people into bins: none, one to two, three to four, five or more. A sceptic can reasonably say the bins produced the pattern. So here trauma enters as a continuous count through a restricted cubic spline, a set of smooth curve segments joined at chosen points, called knots, at zero, two, and five events. The spline lets the data choose the shape: a steepening, no change, or a flattening. We did not decide in advance which.</w:t>
      </w:r>
    </w:p>
    <w:p>
      <w:pPr>
        <w:spacing w:before="200"/>
      </w:pPr>
      <w:r>
        <w:rPr>
          <w:b/>
        </w:rPr>
        <w:t>[Slide 12 · Methods] Statistical Analysis: Scales and Sensitivity</w:t>
      </w:r>
    </w:p>
    <w:p>
      <w:r>
        <w:t>The second choice is to read the interaction on two scales. A ratio can shrink for purely arithmetic reasons when baseline risk is high, so we also report absolute differences in percentage points, which do not have that property. Claims about who should receive which intervention rest on absolute risk. We prespecified sensitivity analyses at other cut-points, on continuous symptom scores, and with the categorical version of trauma.</w:t>
      </w:r>
    </w:p>
    <w:p>
      <w:pPr>
        <w:spacing w:before="200"/>
      </w:pPr>
      <w:r>
        <w:rPr>
          <w:b/>
        </w:rPr>
        <w:t>[Slide 13 · Results] Participant Flow</w:t>
      </w:r>
    </w:p>
    <w:p>
      <w:r>
        <w:t>Of the 1,774 adults interviewed, 1,729 completed the trauma inventory and the outcome measures; 37 declined the trauma items and 8 lacked outcome or sampling data. Adjusted models include 1,706 people with complete covariates. This is a complete-case analysis.</w:t>
      </w:r>
    </w:p>
    <w:p>
      <w:pPr>
        <w:spacing w:before="200"/>
      </w:pPr>
      <w:r>
        <w:rPr>
          <w:b/>
        </w:rPr>
        <w:t>[Slide 14 · Results] Descriptive Data: Exposures</w:t>
      </w:r>
    </w:p>
    <w:p>
      <w:r>
        <w:t>Just over a quarter of people reported no traumatic event, about half reported one or two, 13 percent three or four, and 5.5 percent five or more. The average person reported about two current stressors.</w:t>
      </w:r>
    </w:p>
    <w:p>
      <w:pPr>
        <w:spacing w:before="200"/>
      </w:pPr>
      <w:r>
        <w:rPr>
          <w:b/>
        </w:rPr>
        <w:t>[Slide 15 · Results] Descriptive Data: Stressors by Trauma Exposure</w:t>
      </w:r>
    </w:p>
    <w:p>
      <w:r>
        <w:t>The two exposures are correlated. Mean stressor burden rises from about one at no trauma to about five at five or more events, which is why the interaction needs formal, adjusted testing. Note also the spread: the five-plus group has the widest stressor range in the sample, from zero to ten, so any null in that group is estimated over real variation, not a compressed range.</w:t>
      </w:r>
    </w:p>
    <w:p>
      <w:pPr>
        <w:spacing w:before="200"/>
      </w:pPr>
      <w:r>
        <w:rPr>
          <w:b/>
        </w:rPr>
        <w:t>[Slide 16 · Results] Outcome Data: PTSD by Trauma Exposure</w:t>
      </w:r>
    </w:p>
    <w:p>
      <w:r>
        <w:t>First, the main effect, so the interaction has context. At zero stressors, adjusted PTSD prevalence rises from about 7 percent among people with no trauma to about 40 percent at five events. Trauma dominates the risk landscape. That part is expected. The question is what happens to the stress gradient along the way.</w:t>
      </w:r>
    </w:p>
    <w:p>
      <w:pPr>
        <w:spacing w:before="200"/>
      </w:pPr>
      <w:r>
        <w:rPr>
          <w:b/>
        </w:rPr>
        <w:t>[Slide 17 · Results] Main Results: Per-Stressor Prevalence Ratios</w:t>
      </w:r>
    </w:p>
    <w:p>
      <w:r>
        <w:t>This is the central result. Each marker is the prevalence ratio for one additional daily stressor, with its confidence interval; the dashed line at 1 means no added risk. Start on the left. Among adults with no traumatic events, each added stressor nearly doubles the prevalence of probable PTSD, a ratio of 1.97. Depression, at 1.83, and anxiety, at 1.71, move with it. Now read to the right. At one to two events the ratios fall to between 1.15 and 1.27. At three to four events the intervals sit on the line, and at five or more events all three outcomes are at the null. The interaction is below 0.0001 for all three outcomes. The stressor gradient is steepest where trauma is lowest, which is the opposite of what sensitization predicts.</w:t>
      </w:r>
    </w:p>
    <w:p>
      <w:pPr>
        <w:spacing w:before="200"/>
      </w:pPr>
      <w:r>
        <w:rPr>
          <w:b/>
        </w:rPr>
        <w:t>[Slide 18 · Results] Main Results: Spline Estimate</w:t>
      </w:r>
    </w:p>
    <w:p>
      <w:r>
        <w:t>This is the spline itself: the per-stressor prevalence ratio as a continuous function of the trauma count, with its confidence band. The curve was free to rise, stay flat, or fall. It falls smoothly and crosses the null at about four events. The red markers are the categorical estimates, and the two approaches agree on the shape. The spline interaction is significant for all three outcomes: p of 0.003 for PTSD, 0.0001 for depression, and 0.003 for anxiety.</w:t>
      </w:r>
    </w:p>
    <w:p>
      <w:pPr>
        <w:spacing w:before="200"/>
      </w:pPr>
      <w:r>
        <w:rPr>
          <w:b/>
        </w:rPr>
        <w:t>[Slide 19 · Results] Main Results: Absolute Scale</w:t>
      </w:r>
    </w:p>
    <w:p>
      <w:r>
        <w:t>A sceptic would say the ratio fades only because people with heavy trauma already have high prevalence. So here is the same comparison in percentage points. Going from zero to four stressors adds about 22 points of PTSD prevalence among people with no trauma exposure, 24 points of depression, and 18 points of anxiety. Among people with five or more events, the same four stressors add nothing measurable to any of the three. The fading appears in percentage points too, so it is not an artifact of the ratio scale.</w:t>
      </w:r>
    </w:p>
    <w:p>
      <w:pPr>
        <w:spacing w:before="200"/>
      </w:pPr>
      <w:r>
        <w:rPr>
          <w:b/>
        </w:rPr>
        <w:t>[Slide 20 · Results] Main Results: Prevalence Curves</w:t>
      </w:r>
    </w:p>
    <w:p>
      <w:r>
        <w:t>Here is the same result as prevalence. Each line is a level of trauma. The red line, no trauma exposure, rises from about 7 percent to 28 percent across four stressors and keeps climbing. Each step up in trauma rotates the line flatter, and at five or more events the line is high and does not rise with stress; if anything it drifts down. The gradient belongs to people with little trauma; the burden belongs to people with a lot. Depression and anxiety fan out the same way.</w:t>
      </w:r>
    </w:p>
    <w:p>
      <w:pPr>
        <w:spacing w:before="200"/>
      </w:pPr>
      <w:r>
        <w:rPr>
          <w:b/>
        </w:rPr>
        <w:t>[Slide 21 · Results] Sensitivity Analyses</w:t>
      </w:r>
    </w:p>
    <w:p>
      <w:r>
        <w:t>We tried every route to an artifact we could think of. The pattern holds at alternative cut-points: PCL-5 at 33, PHQ-9 at 15, and GAD-7 at 7. It holds in continuous symptom scores, where there is no cut-point at all. The high-trauma group is not at a ceiling; its prevalence is between 30 and 40 percent, not near 100, and its confidence interval is narrow.</w:t>
      </w:r>
    </w:p>
    <w:p>
      <w:pPr>
        <w:spacing w:before="200"/>
      </w:pPr>
      <w:r>
        <w:rPr>
          <w:b/>
        </w:rPr>
        <w:t>[Slide 22 · Discussion] Key Results: Hypotheses</w:t>
      </w:r>
    </w:p>
    <w:p>
      <w:r>
        <w:t>To return to the objective: trauma does modify how daily stressors relate to all three outcomes. The interaction is significant for PTSD, depression, and anxiety, so the exposures do not simply add; that is hypothesis one. And the direction is negative: with no trauma, each stressor nearly doubles PTSD prevalence, and with five or more events it adds nothing; that is hypothesis two, saturation rather than sensitization.</w:t>
      </w:r>
    </w:p>
    <w:p>
      <w:pPr>
        <w:spacing w:before="200"/>
      </w:pPr>
      <w:r>
        <w:rPr>
          <w:b/>
        </w:rPr>
        <w:t>[Slide 23 · Discussion] Key Results: A Graded Pattern</w:t>
      </w:r>
    </w:p>
    <w:p>
      <w:r>
        <w:t>The change is graded, not a switch. Sensitivity is retained at one or two events, flattens at three or four, and is gone by five. One reading is that both older theories hold, at different levels of exposure.</w:t>
      </w:r>
    </w:p>
    <w:p>
      <w:pPr>
        <w:spacing w:before="200"/>
      </w:pPr>
      <w:r>
        <w:rPr>
          <w:b/>
        </w:rPr>
        <w:t>[Slide 24 · Discussion] Limitations</w:t>
      </w:r>
    </w:p>
    <w:p>
      <w:r>
        <w:t>The limitations: the design is cross-sectional, so selection and reverse causation cannot be excluded; trauma is lifetime recall while stressors are current; data above six events are sparse, so we report predictions only to five; and these are screens, not diagnoses, although they are locally validated and the pattern holds in continuous scores.</w:t>
      </w:r>
    </w:p>
    <w:p>
      <w:pPr>
        <w:spacing w:before="200"/>
      </w:pPr>
      <w:r>
        <w:rPr>
          <w:b/>
        </w:rPr>
        <w:t>[Slide 25 · Discussion] Interpretation: Candidate Mechanisms</w:t>
      </w:r>
    </w:p>
    <w:p>
      <w:r>
        <w:t>Several mechanisms could produce this pattern: allostatic exhaustion, in McEwen's sense; blunted cortisol and amygdala responses after chronic trauma, which Yehuda has documented; emotional numbing; and altered assumptions about the world, so that one more hardship no longer registers as a departure from expected danger. These data describe a pattern across people; they do not demonstrate a mechanism within a person.</w:t>
      </w:r>
    </w:p>
    <w:p>
      <w:pPr>
        <w:spacing w:before="200"/>
      </w:pPr>
      <w:r>
        <w:rPr>
          <w:b/>
        </w:rPr>
        <w:t>[Slide 26 · Discussion] Interpretation: Implications for Programming</w:t>
      </w:r>
    </w:p>
    <w:p>
      <w:r>
        <w:t>The practical implication is stratification. About four in five adults in this sample have fewer than three types of trauma and retain stress sensitivity. For them, stress management, livelihood support, Problem Management Plus, and community psychosocial support address something their symptoms respond to. The minority with extensive exposure carries high prevalence whatever their current stress. For them the treatments with evidence are trauma-focused: Narrative Exposure Therapy and culturally adapted Cognitive Processing Therapy. A brief trauma-history screen at program entry could route scarce specialist capacity to the people for whom stress reduction cannot substitute.</w:t>
      </w:r>
    </w:p>
    <w:p>
      <w:pPr>
        <w:spacing w:before="200"/>
      </w:pPr>
      <w:r>
        <w:rPr>
          <w:b/>
        </w:rPr>
        <w:t>[Slide 27 · Discussion] Generalisability and Conclusions</w:t>
      </w:r>
    </w:p>
    <w:p>
      <w:r>
        <w:t>Trauma changes what everyday stress does. The risk from each additional stressor falls from nearly double among people with no trauma to nothing among people with five or more events, for all three outcomes, on both scales, and in every sensitivity analysis. These data come from six states spanning five forms of violence and a peaceful comparison; replication in other high-exposure settings, and a longitudinal test of when saturation develops and whether it reverses with treatment, are the next steps. Universal programs built on simple dose-response assumptions do not fit these data; we should match the intervention to trauma history.</w:t>
      </w:r>
    </w:p>
    <w:p>
      <w:r>
        <w:t>[Handover] If need comes in two tiers, the service system has to be built in two tiers. That is a policy question, and Dr. Ojo is the person in Nigeria who has to answer it. Thank you.</w:t>
      </w:r>
    </w:p>
    <w:p>
      <w:r>
        <w:rPr>
          <w:i/>
        </w:rPr>
        <w:t>About 1759 words, roughly 13.5 minutes at 130 words per minute.</w:t>
      </w:r>
    </w:p>
    <w:p>
      <w:pPr>
        <w:pStyle w:val="Heading1"/>
      </w:pPr>
      <w:r>
        <w:t>Pocket Answers for Questions</w:t>
      </w:r>
    </w:p>
    <w:p>
      <w:r>
        <w:rPr>
          <w:b/>
        </w:rPr>
        <w:t xml:space="preserve">Isn't the fading ratio just high baseline risk? </w:t>
      </w:r>
      <w:r>
        <w:t>That is why we report percentage points. Four stressors add 22 points among the unexposed and nothing measurable among the heavily exposed. A ratio can fade arithmetically; a risk difference cannot.</w:t>
      </w:r>
    </w:p>
    <w:p>
      <w:r>
        <w:rPr>
          <w:b/>
        </w:rPr>
        <w:t xml:space="preserve">Did the bins create the shape? </w:t>
      </w:r>
      <w:r>
        <w:t>That is why the primary model uses a spline. It was free to rise, stay flat, or fall. It fell, and it crosses the null at about four events.</w:t>
      </w:r>
    </w:p>
    <w:p>
      <w:r>
        <w:rPr>
          <w:b/>
        </w:rPr>
        <w:t xml:space="preserve">Is the five-plus group too small or too uniform? </w:t>
      </w:r>
      <w:r>
        <w:t>It has 95 people and the widest stressor range in the sample, from zero to ten. The null is estimated over real variation.</w:t>
      </w:r>
    </w:p>
    <w:p>
      <w:r>
        <w:rPr>
          <w:b/>
        </w:rPr>
        <w:t xml:space="preserve">Is this just a cut-off effect? </w:t>
      </w:r>
      <w:r>
        <w:t>It holds in the continuous PCL-5, PHQ-9, and GAD-7 scores, where no cut-off exists.</w:t>
      </w:r>
    </w:p>
    <w:p>
      <w:r>
        <w:rPr>
          <w:b/>
        </w:rPr>
        <w:t xml:space="preserve">Your numbers differ from the abstract. </w:t>
      </w:r>
      <w:r>
        <w:t>The abstract carried preliminary estimates. These are the final estimates from the fully cleaned sample; the direction and significance of every finding are unchanged.</w:t>
      </w:r>
    </w:p>
    <w:p>
      <w:r>
        <w:rPr>
          <w:b/>
        </w:rPr>
        <w:t xml:space="preserve">Why is the categorical estimate at zero trauma (1.97) above the spline curve (about 1.44)? </w:t>
      </w:r>
      <w:r>
        <w:t>The categorical estimates are unadjusted; the spline is adjusted for age, gender, education, and state. Adjustment absorbs part of the effect at zero trauma. The shape is the same.</w:t>
      </w:r>
    </w:p>
    <w:p>
      <w:r>
        <w:rPr>
          <w:b/>
        </w:rPr>
        <w:t xml:space="preserve">Is the GAD-7 valid here? </w:t>
      </w:r>
      <w:r>
        <w:t>Jaimie's paper shows its discrimination is limited, so we read the anxiety results cautiously. The saturation pattern does not depend on anxiety; it is clearest for PTSD, which uses the best-validated instrument.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