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More Trauma Means Less Stress Sensitivity: Evidence for a Trauma Saturation Effect Among Violence-Exposed Populations in Nigeria</w:t>
      </w:r>
    </w:p>
    <w:p>
      <w:pPr>
        <w:spacing w:line="480" w:lineRule="auto"/>
      </w:pPr>
      <w:r>
        <w:t>Mohammed Abba-Aji1 [co-authors to confirm]</w:t>
      </w:r>
    </w:p>
    <w:p>
      <w:pPr>
        <w:spacing w:line="480" w:lineRule="auto"/>
      </w:pPr>
      <w:r>
        <w:t>1 Washington University in St. Louis</w:t>
      </w:r>
    </w:p>
    <w:p>
      <w:pPr>
        <w:spacing w:line="480" w:lineRule="auto"/>
      </w:pPr>
      <w:r>
        <w:t>Target journal: Social Science &amp; Medicine. Word count: [fill]. Tables: 3. Figures: 1.</w:t>
      </w:r>
    </w:p>
    <w:p>
      <w:pPr>
        <w:pStyle w:val="Heading1"/>
      </w:pPr>
      <w:r>
        <w:t>Abstract</w:t>
      </w:r>
    </w:p>
    <w:p>
      <w:pPr>
        <w:spacing w:line="480" w:lineRule="auto"/>
      </w:pPr>
      <w:r>
        <w:rPr>
          <w:b/>
        </w:rPr>
        <w:t>Background:</w:t>
      </w:r>
      <w:r>
        <w:t xml:space="preserve"> Whether daily socioeconomic stressors and traumatic exposure combine additively in shaping mental health, or whether trauma modifies stress sensitivity itself, remains unresolved in conflict settings. We tested whether trauma exposure modifies the association between socioeconomic stressors and PTSD, depression, and anxiety among violence-exposed Nigerians.</w:t>
      </w:r>
    </w:p>
    <w:p>
      <w:pPr>
        <w:spacing w:line="480" w:lineRule="auto"/>
      </w:pPr>
      <w:r>
        <w:rPr>
          <w:b/>
        </w:rPr>
        <w:t>Methods:</w:t>
      </w:r>
      <w:r>
        <w:t xml:space="preserve"> We analyzed data from 1,729 adults in six Nigerian states, five conflict-affected (Benue, Borno, Enugu, Rivers, Sokoto) and one non-conflict comparison state (Ogun), sampled through stratified multi-stage cluster sampling between January and March 2024. Outcomes were probable PTSD (PCL-5≥38), depression (PHQ-9≥10), and anxiety (GAD-7≥10), using instruments validated against clinician diagnosis in this population. We fit Poisson models with trauma exposure as a restricted cubic spline (0–12 event types), a trauma × stressor interaction, adjustment for age, gender, education, and state, and design-based variance estimation across 565 community clusters, and we estimated absolute prevalence differences at fixed trauma levels. Sensitivity analyses varied case thresholds and modeled continuous symptom scores.</w:t>
      </w:r>
    </w:p>
    <w:p>
      <w:pPr>
        <w:spacing w:line="480" w:lineRule="auto"/>
      </w:pPr>
      <w:r>
        <w:rPr>
          <w:b/>
        </w:rPr>
        <w:t>Results:</w:t>
      </w:r>
      <w:r>
        <w:t xml:space="preserve"> Stressor–symptom associations weakened monotonically with trauma exposure (interaction p&lt;0.0001 for all three outcomes). Among adults without trauma exposure, each additional stressor was associated with a prevalence ratio of 1.97 (95% CI 1.53–2.54) for PTSD; among those with five or more event types, 0.92 (0.83–1.03). On the absolute scale, four additional stressors were associated with a 21.8 percentage-point rise in adjusted PTSD prevalence at zero events (6.5% to 28.4%) and no rise at five or more, where prevalence stayed near 40% at every stressor level. Depression and anxiety followed the same pattern, and the interaction held across alternative thresholds and continuous scores.</w:t>
      </w:r>
    </w:p>
    <w:p>
      <w:pPr>
        <w:spacing w:line="480" w:lineRule="auto"/>
      </w:pPr>
      <w:r>
        <w:rPr>
          <w:b/>
        </w:rPr>
        <w:t>Conclusions:</w:t>
      </w:r>
      <w:r>
        <w:t xml:space="preserve"> Symptom burden among adults with extensive trauma exposure was high at every level of socioeconomic stress, and the stress–symptom gradient was concentrated among those with limited exposure. These findings argue against uniform psychosocial programming and for matching interventions to trauma history: stress-focused support where stress sensitivity is retained, trauma-focused therapies where exposure is extensive.</w:t>
      </w:r>
    </w:p>
    <w:p>
      <w:pPr>
        <w:spacing w:line="480" w:lineRule="auto"/>
      </w:pPr>
      <w:r>
        <w:rPr>
          <w:b/>
        </w:rPr>
        <w:t>Keywords:</w:t>
      </w:r>
      <w:r>
        <w:t xml:space="preserve"> trauma saturation; stress sensitivity; PTSD; depression; anxiety; Nigeria; humanitarian mental health; effect modification</w:t>
      </w:r>
    </w:p>
    <w:p>
      <w:pPr>
        <w:pStyle w:val="Heading1"/>
      </w:pPr>
      <w:r>
        <w:t>1. Introduction</w:t>
      </w:r>
    </w:p>
    <w:p>
      <w:pPr>
        <w:spacing w:line="480" w:lineRule="auto"/>
      </w:pPr>
      <w:r>
        <w:t>Nigeria faces multiple concurrent security challenges. The Boko Haram insurgency has resulted in over 350,000 deaths and displaced 3.3 million persons since 2009 (International Crisis Group, 2025). Farmer-herder conflicts in the Middle Belt have claimed 60,000 lives, while banditry in the northwest and separatist violence in the southeast affect millions more (International Crisis Group, 2025). Our companion epidemiological study documented that 20.8% of adults across five conflict-affected states meet criteria for probable PTSD, with prevalence ranging from 7.7% in Rivers to 29.2% in Benue [Manuscript 2 citation]. Prevalence alone, however, cannot guide intervention design. The design question is how trauma and ongoing stressors interact to shape mental health, because the answer decides who benefits from which intervention.</w:t>
      </w:r>
    </w:p>
    <w:p>
      <w:pPr>
        <w:spacing w:line="480" w:lineRule="auto"/>
      </w:pPr>
      <w:r>
        <w:t>Two frameworks have dominated the field. The "building block" hypothesis proposes that trauma and daily stressors exert independent, additive effects on mental health (Miller &amp; Rasmussen, 2010). This model underlies most humanitarian programming, which combines trauma treatment with stress management on the assumption that addressing either factor yields proportional benefit for everyone. Studies in Afghanistan, Sri Lanka, and Gaza showing independent contributions of trauma and stressors support it (Miller et al., 2008; Fernando et al., 2010). Stress sensitization theory makes the opposite prediction: trauma alters stress reactivity itself, lowering the threshold at which stressors trigger symptoms (Hammen, 2005), through neurobiological changes including altered cortisol regulation and enhanced amygdala reactivity. Longitudinal work showing that childhood adversity predicts heightened adult stress reactivity supports this account (McLaughlin et al., 2010).</w:t>
      </w:r>
    </w:p>
    <w:p>
      <w:pPr>
        <w:spacing w:line="480" w:lineRule="auto"/>
      </w:pPr>
      <w:r>
        <w:t>Neither framework explains the patterns emerging from severely traumatized populations. Studies of Syrian and Burundian refugees found diminishing, not heightened, stress sensitivity among the most trauma-exposed (Hou et al., 2020; Scharpf et al., 2021). These findings point to a third possibility, trauma saturation: beyond some level of exposure, symptom burden is high and no longer tracks current stressors. Neurobiological research documents blunted stress hormone responses after chronic trauma, termed hypocortisolism (Yehuda et al., 2015), and psychological accounts of emotional numbing and altered world assumptions offer parallel mechanisms. The prior evidence is suggestive rather than decisive: it comes largely from refugee samples with restricted exposure ranges, and no study has formally tested the shape of the trauma × stressor interaction, across multiple outcomes, in an African conflict setting.</w:t>
      </w:r>
    </w:p>
    <w:p>
      <w:pPr>
        <w:spacing w:line="480" w:lineRule="auto"/>
      </w:pPr>
      <w:r>
        <w:t>This study examined whether trauma exposure modifies the association between socioeconomic stressors and mental health among violence-exposed Nigerians. We tested three hypotheses: that trauma and stressors would each predict mental health outcomes; that trauma × stressor interactions would emerge; and that adults with extensive trauma would show diminished stress sensitivity, consistent with saturation rather than sensitization. To let the data reject saturation if it is not there, we modeled trauma exposure continuously with flexible splines rather than imposing exposure categories, and we quantified the interaction on both the relative and the absolute scale, because claims about intervention targeting rest on absolute differences.</w:t>
      </w:r>
    </w:p>
    <w:p>
      <w:pPr>
        <w:pStyle w:val="Heading1"/>
      </w:pPr>
      <w:r>
        <w:t>2. Methods</w:t>
      </w:r>
    </w:p>
    <w:p>
      <w:pPr>
        <w:pStyle w:val="Heading2"/>
      </w:pPr>
      <w:r>
        <w:t>2.1 Study design and population</w:t>
      </w:r>
    </w:p>
    <w:p>
      <w:pPr>
        <w:spacing w:line="480" w:lineRule="auto"/>
      </w:pPr>
      <w:r>
        <w:t>This analysis used data from the Mental Health and Resilience Following Violent Incidents in Nigeria (MaRVIN) project, a population-based cross-sectional survey conducted between January 15 and March 30, 2024. The study followed STROBE guidelines for observational research and WHO recommendations for mental health assessment in conflict settings.</w:t>
      </w:r>
    </w:p>
    <w:p>
      <w:pPr>
        <w:spacing w:line="480" w:lineRule="auto"/>
      </w:pPr>
      <w:r>
        <w:t>Six Nigerian states were purposively selected. Five represent distinct conflict typologies: Benue (farmer-herder conflicts, 485,000 displaced), Borno (Boko Haram insurgency, 2.2 million displaced), Enugu (separatist violence), Rivers (cultist violence), and Sokoto (banditry, 200,000 displaced). Ogun, in the southwest, was included as a non-conflict comparison state; it anchors the low end of the trauma-exposure gradient and lets the analysis separate trauma effects from residence in a conflict-affected state.</w:t>
      </w:r>
    </w:p>
    <w:p>
      <w:pPr>
        <w:pStyle w:val="Heading2"/>
      </w:pPr>
      <w:r>
        <w:t>2.2 Sampling</w:t>
      </w:r>
    </w:p>
    <w:p>
      <w:pPr>
        <w:spacing w:line="480" w:lineRule="auto"/>
      </w:pPr>
      <w:r>
        <w:t>Sampling proceeded in four stages within each state. Local Government Areas were randomly selected with probability proportional to size, stratified by security level using Armed Conflict Location and Event Data; Enumeration Areas were randomly selected from the National Population Commission's master frame, with oversampling of IDP-hosting areas; households were systematically selected with a random start and calculated interval; and one adult per household was selected by Kish grid. Eligibility required age 18 or older, residence in the study area for at least six months, capacity to consent, and fluency in Hausa, English, or a relevant local language. Persons with active psychosis, acute medical emergencies, or intoxication were excluded. [Confirm the Ogun sampling followed the same stages.]</w:t>
      </w:r>
    </w:p>
    <w:p>
      <w:pPr>
        <w:pStyle w:val="Heading2"/>
      </w:pPr>
      <w:r>
        <w:t>2.3 Measures</w:t>
      </w:r>
    </w:p>
    <w:p>
      <w:pPr>
        <w:spacing w:line="480" w:lineRule="auto"/>
      </w:pPr>
      <w:r>
        <w:rPr>
          <w:b/>
        </w:rPr>
        <w:t>Mental health outcomes.</w:t>
      </w:r>
      <w:r>
        <w:t xml:space="preserve"> Instruments were culturally adapted following WHO translation guidelines, with forward-backward translation, expert panel review, cognitive interviews, and pilot testing; the validation against clinician diagnosis is reported in our companion validation study [Manuscript 1 citation]. The PTSD Checklist for DSM-5 (PCL-5) assessed past-month PTSD symptoms (20 items, 0–4); a score of 38 or higher indicated probable PTSD (AUC=0.71; α=0.92). The Patient Health Questionnaire-9 (PHQ-9) measured depressive symptoms over the past two weeks (nine items, 0–3; cutoff ≥10; AUC=0.70; α=0.88). The Generalized Anxiety Disorder-7 scale (GAD-7) assessed anxiety symptoms (seven items, 0–3; cutoff ≥10; α=0.86).</w:t>
      </w:r>
    </w:p>
    <w:p>
      <w:pPr>
        <w:spacing w:line="480" w:lineRule="auto"/>
      </w:pPr>
      <w:r>
        <w:rPr>
          <w:b/>
        </w:rPr>
        <w:t>Trauma exposure.</w:t>
      </w:r>
      <w:r>
        <w:t xml:space="preserve"> A 12-item checklist assessed lifetime exposure to traumatic event types, adapted from the Life Events Checklist and Harvard Trauma Questionnaire for Nigerian contexts, covering conflict-related events (armed conflict exposure, physical assault, assault with a weapon, sexual assault) and general traumatic events (natural disaster, fire or explosion, transportation and other serious accidents, toxic exposure, life-threatening illness or injury, severe human suffering, other very stressful events). Responses were binary for lifetime occurrence and summed (0–12). Respondents who declined the trauma items without endorsing any event (n=37) were treated as missing rather than unexposed; we verified the stored count against the item-level responses before analysis. For descriptive comparability with earlier work, counts were also categorized as 0 (28.0%), 1–2 (53.7%), 3–4 (12.9%), and 5+ events (5.5%).</w:t>
      </w:r>
    </w:p>
    <w:p>
      <w:pPr>
        <w:spacing w:line="480" w:lineRule="auto"/>
      </w:pPr>
      <w:r>
        <w:rPr>
          <w:b/>
        </w:rPr>
        <w:t>Socioeconomic stressors.</w:t>
      </w:r>
      <w:r>
        <w:t xml:space="preserve"> A checklist of current socioeconomic challenges captured family problems, difficulty finding childcare, feeling alone or isolated, losing a job, a household member losing a job, divorce or separation, difficulty paying rent, eviction, and reduced hours or pay. Endorsements were summed into a stressor count (0–10; mean 2.05, SD 1.65).</w:t>
      </w:r>
    </w:p>
    <w:p>
      <w:pPr>
        <w:spacing w:line="480" w:lineRule="auto"/>
      </w:pPr>
      <w:r>
        <w:rPr>
          <w:b/>
        </w:rPr>
        <w:t>Covariates.</w:t>
      </w:r>
      <w:r>
        <w:t xml:space="preserve"> Models adjusted for age (years), gender, education (no formal education, primary, secondary, tertiary, other), and state.</w:t>
      </w:r>
    </w:p>
    <w:p>
      <w:pPr>
        <w:pStyle w:val="Heading2"/>
      </w:pPr>
      <w:r>
        <w:t>2.4 Data collection</w:t>
      </w:r>
    </w:p>
    <w:p>
      <w:pPr>
        <w:spacing w:line="480" w:lineRule="auto"/>
      </w:pPr>
      <w:r>
        <w:t>Fifty data collectors with bachelor's degrees, language fluency, and prior survey experience received five days of training covering ethics, interview technique, and psychological first aid. Quality assurance included duplicate interviews for 5% of the sample (inter-rater reliability κ&gt;0.80) and daily supervision. Interviews were face-to-face in the participant's preferred language, lasting 45–75 minutes, entered on tablets in Open Data Kit with built-in range and consistency checks. All interviewers carried referral information for available mental health services.</w:t>
      </w:r>
    </w:p>
    <w:p>
      <w:pPr>
        <w:pStyle w:val="Heading2"/>
      </w:pPr>
      <w:r>
        <w:t>2.5 Statistical analysis</w:t>
      </w:r>
    </w:p>
    <w:p>
      <w:pPr>
        <w:spacing w:line="480" w:lineRule="auto"/>
      </w:pPr>
      <w:r>
        <w:t>We modeled each outcome with Poisson regression, which returns prevalence ratios directly and avoids the non-collapsibility of odds ratios at the prevalences observed here. All models accounted for the stratified multi-stage design, with state as the stratification variable, community as the primary sampling unit (565 clusters), and linearized variance estimation. Trauma exposure entered the primary models continuously (0–12 events) as a restricted cubic spline with knots at 0, 2, and 5 events, so that any flattening of the stressor–symptom association at higher exposure would be estimated from the data rather than imposed by categorization; socioeconomic stressors entered as the challenge count. Primary models adjusted for age, gender, education, and state. We tested departure from a common stressor effect with an adjusted Wald test on the trauma × stressor interaction terms.</w:t>
      </w:r>
    </w:p>
    <w:p>
      <w:pPr>
        <w:spacing w:line="480" w:lineRule="auto"/>
      </w:pPr>
      <w:r>
        <w:t>Because claims about intervention targeting rest on absolute rather than relative differences, we also estimated model-based changes in predicted prevalence for an increase from zero to four stressors at fixed trauma levels. We prespecified three sensitivity analyses: alternative case thresholds (PCL-5≥33, PHQ-9≥15, GAD-7≥7), continuous symptom scores, and the categorical trauma specification (0, 1–2, 3–4, 5+ events), estimated without covariate adjustment for comparability with earlier work. Analyses used Stata 19.5.</w:t>
      </w:r>
    </w:p>
    <w:p>
      <w:pPr>
        <w:pStyle w:val="Heading2"/>
      </w:pPr>
      <w:r>
        <w:t>2.6 Ethics</w:t>
      </w:r>
    </w:p>
    <w:p>
      <w:pPr>
        <w:spacing w:line="480" w:lineRule="auto"/>
      </w:pPr>
      <w:r>
        <w:t>The study received approval from the Washington University Ethics Committee and Nigeria's National Health Research Ethics Committee (Protocol #NHREC/01/01/2007-25/08/2025), with permission from relevant state-level health research ethics committees. Written informed consent was obtained after explanation in the participant's preferred language. Participants received 1,000 Naira transportation reimbursement. Data were encrypted and stored without identifying information.</w:t>
      </w:r>
    </w:p>
    <w:p>
      <w:pPr>
        <w:pStyle w:val="Heading1"/>
      </w:pPr>
      <w:r>
        <w:t>3. Results</w:t>
      </w:r>
    </w:p>
    <w:p>
      <w:pPr>
        <w:pStyle w:val="Heading2"/>
      </w:pPr>
      <w:r>
        <w:t>3.1 Sample characteristics</w:t>
      </w:r>
    </w:p>
    <w:p>
      <w:pPr>
        <w:spacing w:line="480" w:lineRule="auto"/>
      </w:pPr>
      <w:r>
        <w:t>Of 1,774 adults interviewed, 1,729 completed the trauma inventory and contributed to unadjusted models; 1,706 with complete covariate data entered adjusted models. Table 1 presents characteristics by trauma exposure category. [Fill Table 1 values from the final run: age, gender, displacement, stressor means, and outcome prevalence by category.] Prevalence of probable PTSD, depression, and anxiety rose steeply across trauma categories, and mean stressor counts were higher among the more trauma-exposed, which is itself a reason adjusted interaction models are needed.</w:t>
      </w:r>
    </w:p>
    <w:p>
      <w:pPr>
        <w:pStyle w:val="Heading2"/>
      </w:pPr>
      <w:r>
        <w:t>3.2 Trauma × stressor interactions</w:t>
      </w:r>
    </w:p>
    <w:p>
      <w:pPr>
        <w:spacing w:line="480" w:lineRule="auto"/>
      </w:pPr>
      <w:r>
        <w:t>Stressor effects depended on trauma exposure for all three outcomes (Table 2). Among respondents reporting no traumatic events, each additional socioeconomic stressor was associated with a 97% higher prevalence of probable PTSD (prevalence ratio 1.97, 95% CI 1.53–2.54); among those reporting five or more event types, the association was null (0.92, 95% CI 0.83–1.03; interaction p&lt;0.0001). Depression (1.83, 1.46–2.30, falling to 0.99, 0.90–1.09; p&lt;0.0001) and anxiety (1.71, 1.35–2.17, falling to 1.03, 0.95–1.13; p&lt;0.0001) followed the same pattern, with the decline in stressor effects monotonic across categories in each case.</w:t>
      </w:r>
    </w:p>
    <w:p>
      <w:pPr>
        <w:spacing w:line="480" w:lineRule="auto"/>
      </w:pPr>
      <w:r>
        <w:t>The continuous specification told the same story without the categories. In adjusted models with trauma as a restricted cubic spline, the trauma × stressor interaction held for PTSD (Wald F(2,551)=5.97, p=0.0027), depression (F=9.91, p=0.0001), and anxiety (F=5.99, p=0.0027).</w:t>
      </w:r>
    </w:p>
    <w:p>
      <w:pPr>
        <w:pStyle w:val="Heading2"/>
      </w:pPr>
      <w:r>
        <w:t>3.3 Predicted prevalence and absolute differences</w:t>
      </w:r>
    </w:p>
    <w:p>
      <w:pPr>
        <w:spacing w:line="480" w:lineRule="auto"/>
      </w:pPr>
      <w:r>
        <w:t>Figure 1 shows adjusted predicted prevalence of each outcome across the stressor range at fixed trauma levels; Table 3 gives the values. At zero traumatic events, PTSD prevalence rose from 6.5% (95% CI 1.1–12.0) with no stressors to 28.4% (15.4–41.3) at four stressors. At five events, prevalence was 40.9% (20.3–61.4) with no stressors and 38.4% (27.4–49.3) at four: high and flat. Depression rose from 5.4% to 29.4% across the same stressor contrast at zero events and sat between 35.3% and 38.7% at five; anxiety rose from 7.1% to 24.9% at zero events and moved from 40.2% to 36.2% at five.</w:t>
      </w:r>
    </w:p>
    <w:p>
      <w:pPr>
        <w:spacing w:line="480" w:lineRule="auto"/>
      </w:pPr>
      <w:r>
        <w:t>The absolute contrasts carry the intervention point. At zero traumatic events, an increase from zero to four stressors was associated with a 21.8 percentage-point rise in adjusted PTSD prevalence (95% CI 7.2–36.5), a 24.1-point rise in depression (10.5–37.6), and a 17.8-point rise in anxiety (3.9–31.6). At five events, the same contrast was associated with no rise for any outcome: −2.5 points for PTSD (−18.3 to +13.4), +3.5 for depression (−7.7 to +14.6), and −4.0 for anxiety (−15.1 to +7.1).</w:t>
      </w:r>
    </w:p>
    <w:p>
      <w:pPr>
        <w:pStyle w:val="Heading2"/>
      </w:pPr>
      <w:r>
        <w:t>3.4 Sensitivity analyses</w:t>
      </w:r>
    </w:p>
    <w:p>
      <w:pPr>
        <w:spacing w:line="480" w:lineRule="auto"/>
      </w:pPr>
      <w:r>
        <w:t>The interaction was not an artifact of any threshold. It held at PCL-5≥33 (p=0.0002), PHQ-9≥15 (p=0.0001), and GAD-7≥7 (p&lt;0.0001), and for continuous symptom scores (PCL-5 p&lt;0.0001; PHQ-9 p=0.0001; GAD-7 p&lt;0.0001). Restricting to the five conflict-affected states left the pattern unchanged [fill p-values from the five-state run].</w:t>
      </w:r>
    </w:p>
    <w:p>
      <w:pPr>
        <w:pStyle w:val="Heading1"/>
      </w:pPr>
      <w:r>
        <w:t>4. Discussion</w:t>
      </w:r>
    </w:p>
    <w:p>
      <w:pPr>
        <w:spacing w:line="480" w:lineRule="auto"/>
      </w:pPr>
      <w:r>
        <w:t>This population-based study of 1,729 adults across six Nigerian states showed that the association between socioeconomic stressors and mental health depends on trauma history. Among adults with no traumatic exposure, each additional stressor nearly doubled the prevalence of probable PTSD, and four additional stressors were associated with a rise in prevalence from 6.5% to 28.4%. Among adults with five or more traumatic event types, prevalence sat near 40% at every stressor level, and additional stressors were associated with nothing. The gradient declined monotonically in between, held for depression and anxiety, and survived every threshold and specification we tested. We read this pattern as trauma saturation: the stress–symptom gradient is concentrated among those with limited trauma exposure, while symptom burden among the heavily exposed is high regardless of current circumstances.</w:t>
      </w:r>
    </w:p>
    <w:p>
      <w:pPr>
        <w:spacing w:line="480" w:lineRule="auto"/>
      </w:pPr>
      <w:r>
        <w:t>This study is consistent with previous work documenting diminishing stress sensitivity among highly traumatized refugees (Hou et al., 2020; Scharpf et al., 2021), and it differs from that work in three ways: the interaction was tested formally rather than observed descriptively, the exposure–response shape was estimated with flexible splines rather than imposed by categories, and the pattern was demonstrated across three outcomes with absolute as well as relative effect measures. The findings sit uneasily with both dominant frameworks. The building-block model predicts parallel stressor effects at every trauma level, and we found effects that fall from a prevalence ratio of 1.97 to null. Sensitization theory predicts the steepest gradients among the most exposed, and we found the opposite. One reading reconciles the pieces: sensitization and saturation may both operate, at different exposure levels. Adults with one or two events retained significant though reduced stress sensitivity; the flattening emerged at three to four events and was complete at five.</w:t>
      </w:r>
    </w:p>
    <w:p>
      <w:pPr>
        <w:spacing w:line="480" w:lineRule="auto"/>
      </w:pPr>
      <w:r>
        <w:t>Explanations for these findings run along three lines. Allostatic load theory proposes that stress-response systems become hyperreactive before exhausting (McEwen, 1998), and the neurobiology of chronic trauma points the same way: blunted cortisol responses, termed hypocortisolism, and reduced amygdala reactivity to threat (Yehuda et al., 2015; van Rooij et al., 2016). Cognitive accounts add that extensive trauma alters world assumptions, so an additional stressor no longer registers as a departure from expected danger (Janoff-Bulman, 1992). Emotional numbing, a core PTSD symptom cluster predicting functional impairment, offers a third pathway (Litz &amp; Gray, 2002). Our data cannot arbitrate among these mechanisms, but the slight negative point estimates at high exposure argue against a pure statistical ceiling, since a ceiling flattens gradients without reversing them.</w:t>
      </w:r>
    </w:p>
    <w:p>
      <w:pPr>
        <w:spacing w:line="480" w:lineRule="auto"/>
      </w:pPr>
      <w:r>
        <w:t>Several limitations warrant consideration. The design is cross-sectional, so saturation here names a pattern of association, not a mechanism; selection into high-exposure groups, differential recall, and reverse causation could each contribute, though it is difficult to construct a recall account that produces a monotonic flattening across three outcomes. Trauma counts are lifetime recall set against current stressors. Few respondents reported more than six event types, so estimates at the extreme of the exposure range are unstable, and we restricted reported predictions to five events for that reason. The outcome measures are screens, not diagnoses, although they were validated against clinician interview in this population, and the interaction held for continuous scores. The stressor checklist emphasizes economic and family adversity; a broader instrument might behave differently. The analysis used equal sampling weights with design-based clustering; refined weights were not available.</w:t>
      </w:r>
    </w:p>
    <w:p>
      <w:pPr>
        <w:spacing w:line="480" w:lineRule="auto"/>
      </w:pPr>
      <w:r>
        <w:t>Notwithstanding these limitations, the implications for humanitarian mental health programming are direct. Universal psychosocial programs aim stress reduction at everyone, and these results say the people whose symptoms track stress are concentrated at the low end of the trauma distribution — in this sample, the four in five adults with fewer than three event types. For them, stress management and livelihood interventions such as Problem Management Plus and community-based psychosocial support address a factor to which their mental health demonstrably responds (Rahman et al., 2016; Jordans et al., 2010). For the minority with extensive exposure, symptom burden was high at every stressor level, and the treatments with evidence in comparable populations are trauma-focused: Narrative Exposure Therapy, developed for multiple trauma (Robjant &amp; Fazel, 2010), and culturally adapted Cognitive Processing Therapy (Bass et al., 2013). Screening for trauma history at program entry would let scarce specialist capacity go where stress management cannot substitute for it. Intervention trials should now test whether stratifying by trauma exposure outperforms universal delivery, and longitudinal designs should establish when saturation develops and whether it reverses with treatment.</w:t>
      </w:r>
    </w:p>
    <w:p>
      <w:pPr>
        <w:pStyle w:val="Heading1"/>
      </w:pPr>
      <w:r>
        <w:t>5. Conclusion</w:t>
      </w:r>
    </w:p>
    <w:p>
      <w:pPr>
        <w:spacing w:line="480" w:lineRule="auto"/>
      </w:pPr>
      <w:r>
        <w:t>Among violence-exposed Nigerians, the association between socioeconomic stressors and mental health was concentrated among adults with limited trauma exposure and absent among those with extensive exposure, whose symptom burden was high at every stressor level. Mental health response in conflict settings should be matched to trauma history rather than delivered uniformly: environmental and stress-focused intervention where stress sensitivity is retained, and trauma-focused therapy where exposure is extensive. Treating these populations as one risks serving neither.</w:t>
      </w:r>
    </w:p>
    <w:p>
      <w:pPr>
        <w:pStyle w:val="Heading1"/>
      </w:pPr>
      <w:r>
        <w:t>Tables and Figures</w:t>
      </w:r>
    </w:p>
    <w:p>
      <w:pPr>
        <w:spacing w:line="480" w:lineRule="auto"/>
      </w:pPr>
      <w:r>
        <w:rPr>
          <w:b/>
        </w:rPr>
        <w:t>Table 1.</w:t>
      </w:r>
      <w:r>
        <w:t xml:space="preserve"> Sample characteristics by trauma exposure category (N=1,729). [Fill: age, gender, state, displacement, education, stressor mean (SD), and prevalence of each outcome, by category 0 / 1–2 / 3–4 / 5+, with design-based p-values.]</w:t>
      </w:r>
    </w:p>
    <w:p>
      <w:pPr>
        <w:spacing w:line="480" w:lineRule="auto"/>
      </w:pPr>
      <w:r>
        <w:rPr>
          <w:b/>
        </w:rPr>
        <w:t>Table 2.</w:t>
      </w:r>
      <w:r>
        <w:t xml:space="preserve"> Association between socioeconomic stressors and mental health outcomes, by trauma exposure.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20"/>
              </w:rPr>
            </w:r>
          </w:p>
        </w:tc>
        <w:tc>
          <w:tcPr>
            <w:tcW w:type="dxa" w:w="2160"/>
          </w:tcPr>
          <w:p>
            <w:r>
              <w:rPr>
                <w:sz w:val="20"/>
              </w:rPr>
              <w:t>PTSD</w:t>
            </w:r>
          </w:p>
        </w:tc>
        <w:tc>
          <w:tcPr>
            <w:tcW w:type="dxa" w:w="2160"/>
          </w:tcPr>
          <w:p>
            <w:r>
              <w:rPr>
                <w:sz w:val="20"/>
              </w:rPr>
              <w:t>Depression</w:t>
            </w:r>
          </w:p>
        </w:tc>
        <w:tc>
          <w:tcPr>
            <w:tcW w:type="dxa" w:w="2160"/>
          </w:tcPr>
          <w:p>
            <w:r>
              <w:rPr>
                <w:sz w:val="20"/>
              </w:rPr>
              <w:t>Anxiety</w:t>
            </w:r>
          </w:p>
        </w:tc>
      </w:tr>
      <w:tr>
        <w:tc>
          <w:tcPr>
            <w:tcW w:type="dxa" w:w="2160"/>
          </w:tcPr>
          <w:p>
            <w:r>
              <w:rPr>
                <w:sz w:val="20"/>
              </w:rPr>
              <w:t>Per-stressor prevalence ratio (95% CI)</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No trauma</w:t>
            </w:r>
          </w:p>
        </w:tc>
        <w:tc>
          <w:tcPr>
            <w:tcW w:type="dxa" w:w="2160"/>
          </w:tcPr>
          <w:p>
            <w:r>
              <w:rPr>
                <w:sz w:val="20"/>
              </w:rPr>
              <w:t>1.97 (1.53–2.54)</w:t>
            </w:r>
          </w:p>
        </w:tc>
        <w:tc>
          <w:tcPr>
            <w:tcW w:type="dxa" w:w="2160"/>
          </w:tcPr>
          <w:p>
            <w:r>
              <w:rPr>
                <w:sz w:val="20"/>
              </w:rPr>
              <w:t>1.83 (1.46–2.30)</w:t>
            </w:r>
          </w:p>
        </w:tc>
        <w:tc>
          <w:tcPr>
            <w:tcW w:type="dxa" w:w="2160"/>
          </w:tcPr>
          <w:p>
            <w:r>
              <w:rPr>
                <w:sz w:val="20"/>
              </w:rPr>
              <w:t>1.71 (1.35–2.17)</w:t>
            </w:r>
          </w:p>
        </w:tc>
      </w:tr>
      <w:tr>
        <w:tc>
          <w:tcPr>
            <w:tcW w:type="dxa" w:w="2160"/>
          </w:tcPr>
          <w:p>
            <w:r>
              <w:rPr>
                <w:sz w:val="20"/>
              </w:rPr>
              <w:t>1–2 events</w:t>
            </w:r>
          </w:p>
        </w:tc>
        <w:tc>
          <w:tcPr>
            <w:tcW w:type="dxa" w:w="2160"/>
          </w:tcPr>
          <w:p>
            <w:r>
              <w:rPr>
                <w:sz w:val="20"/>
              </w:rPr>
              <w:t>1.26 (1.06–1.50)</w:t>
            </w:r>
          </w:p>
        </w:tc>
        <w:tc>
          <w:tcPr>
            <w:tcW w:type="dxa" w:w="2160"/>
          </w:tcPr>
          <w:p>
            <w:r>
              <w:rPr>
                <w:sz w:val="20"/>
              </w:rPr>
              <w:t>1.27 (1.11–1.45)</w:t>
            </w:r>
          </w:p>
        </w:tc>
        <w:tc>
          <w:tcPr>
            <w:tcW w:type="dxa" w:w="2160"/>
          </w:tcPr>
          <w:p>
            <w:r>
              <w:rPr>
                <w:sz w:val="20"/>
              </w:rPr>
              <w:t>1.15 (1.01–1.31)</w:t>
            </w:r>
          </w:p>
        </w:tc>
      </w:tr>
      <w:tr>
        <w:tc>
          <w:tcPr>
            <w:tcW w:type="dxa" w:w="2160"/>
          </w:tcPr>
          <w:p>
            <w:r>
              <w:rPr>
                <w:sz w:val="20"/>
              </w:rPr>
              <w:t>3–4 events</w:t>
            </w:r>
          </w:p>
        </w:tc>
        <w:tc>
          <w:tcPr>
            <w:tcW w:type="dxa" w:w="2160"/>
          </w:tcPr>
          <w:p>
            <w:r>
              <w:rPr>
                <w:sz w:val="20"/>
              </w:rPr>
              <w:t>1.03 (0.87–1.21)</w:t>
            </w:r>
          </w:p>
        </w:tc>
        <w:tc>
          <w:tcPr>
            <w:tcW w:type="dxa" w:w="2160"/>
          </w:tcPr>
          <w:p>
            <w:r>
              <w:rPr>
                <w:sz w:val="20"/>
              </w:rPr>
              <w:t>0.95 (0.81–1.12)</w:t>
            </w:r>
          </w:p>
        </w:tc>
        <w:tc>
          <w:tcPr>
            <w:tcW w:type="dxa" w:w="2160"/>
          </w:tcPr>
          <w:p>
            <w:r>
              <w:rPr>
                <w:sz w:val="20"/>
              </w:rPr>
              <w:t>0.86 (0.75–0.99)</w:t>
            </w:r>
          </w:p>
        </w:tc>
      </w:tr>
      <w:tr>
        <w:tc>
          <w:tcPr>
            <w:tcW w:type="dxa" w:w="2160"/>
          </w:tcPr>
          <w:p>
            <w:r>
              <w:rPr>
                <w:sz w:val="20"/>
              </w:rPr>
              <w:t>5+ events</w:t>
            </w:r>
          </w:p>
        </w:tc>
        <w:tc>
          <w:tcPr>
            <w:tcW w:type="dxa" w:w="2160"/>
          </w:tcPr>
          <w:p>
            <w:r>
              <w:rPr>
                <w:sz w:val="20"/>
              </w:rPr>
              <w:t>0.92 (0.83–1.03)</w:t>
            </w:r>
          </w:p>
        </w:tc>
        <w:tc>
          <w:tcPr>
            <w:tcW w:type="dxa" w:w="2160"/>
          </w:tcPr>
          <w:p>
            <w:r>
              <w:rPr>
                <w:sz w:val="20"/>
              </w:rPr>
              <w:t>0.99 (0.90–1.09)</w:t>
            </w:r>
          </w:p>
        </w:tc>
        <w:tc>
          <w:tcPr>
            <w:tcW w:type="dxa" w:w="2160"/>
          </w:tcPr>
          <w:p>
            <w:r>
              <w:rPr>
                <w:sz w:val="20"/>
              </w:rPr>
              <w:t>1.03 (0.95–1.13)</w:t>
            </w:r>
          </w:p>
        </w:tc>
      </w:tr>
      <w:tr>
        <w:tc>
          <w:tcPr>
            <w:tcW w:type="dxa" w:w="2160"/>
          </w:tcPr>
          <w:p>
            <w:r>
              <w:rPr>
                <w:sz w:val="20"/>
              </w:rPr>
              <w:t>Interaction (categorical), F(3,557), p</w:t>
            </w:r>
          </w:p>
        </w:tc>
        <w:tc>
          <w:tcPr>
            <w:tcW w:type="dxa" w:w="2160"/>
          </w:tcPr>
          <w:p>
            <w:r>
              <w:rPr>
                <w:sz w:val="20"/>
              </w:rPr>
              <w:t>11.41, &lt;0.0001</w:t>
            </w:r>
          </w:p>
        </w:tc>
        <w:tc>
          <w:tcPr>
            <w:tcW w:type="dxa" w:w="2160"/>
          </w:tcPr>
          <w:p>
            <w:r>
              <w:rPr>
                <w:sz w:val="20"/>
              </w:rPr>
              <w:t>11.29, &lt;0.0001</w:t>
            </w:r>
          </w:p>
        </w:tc>
        <w:tc>
          <w:tcPr>
            <w:tcW w:type="dxa" w:w="2160"/>
          </w:tcPr>
          <w:p>
            <w:r>
              <w:rPr>
                <w:sz w:val="20"/>
              </w:rPr>
              <w:t>9.09, &lt;0.0001</w:t>
            </w:r>
          </w:p>
        </w:tc>
      </w:tr>
      <w:tr>
        <w:tc>
          <w:tcPr>
            <w:tcW w:type="dxa" w:w="2160"/>
          </w:tcPr>
          <w:p>
            <w:r>
              <w:rPr>
                <w:sz w:val="20"/>
              </w:rPr>
              <w:t>Interaction (adjusted spline), F(2,551), p</w:t>
            </w:r>
          </w:p>
        </w:tc>
        <w:tc>
          <w:tcPr>
            <w:tcW w:type="dxa" w:w="2160"/>
          </w:tcPr>
          <w:p>
            <w:r>
              <w:rPr>
                <w:sz w:val="20"/>
              </w:rPr>
              <w:t>5.97, 0.0027</w:t>
            </w:r>
          </w:p>
        </w:tc>
        <w:tc>
          <w:tcPr>
            <w:tcW w:type="dxa" w:w="2160"/>
          </w:tcPr>
          <w:p>
            <w:r>
              <w:rPr>
                <w:sz w:val="20"/>
              </w:rPr>
              <w:t>9.91, 0.0001</w:t>
            </w:r>
          </w:p>
        </w:tc>
        <w:tc>
          <w:tcPr>
            <w:tcW w:type="dxa" w:w="2160"/>
          </w:tcPr>
          <w:p>
            <w:r>
              <w:rPr>
                <w:sz w:val="20"/>
              </w:rPr>
              <w:t>5.99, 0.0027</w:t>
            </w:r>
          </w:p>
        </w:tc>
      </w:tr>
    </w:tbl>
    <w:p>
      <w:pPr>
        <w:spacing w:line="480" w:lineRule="auto"/>
      </w:pPr>
      <w:r>
        <w:t>Categorical estimates from unadjusted design-based Poisson models (N=1,729); spline tests from adjusted models (N=1,706) with trauma as a restricted cubic spline (knots 0, 2, 5) and adjustment for age, gender, education, and state.</w:t>
      </w:r>
    </w:p>
    <w:p>
      <w:pPr>
        <w:spacing w:line="480" w:lineRule="auto"/>
      </w:pPr>
      <w:r>
        <w:rPr>
          <w:b/>
        </w:rPr>
        <w:t>Table 3.</w:t>
      </w:r>
      <w:r>
        <w:t xml:space="preserve"> Adjusted predicted prevalence (%) by trauma exposure and stressor count, and absolute difference for four additional stressors.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20"/>
              </w:rPr>
              <w:t>Outcome / trauma level</w:t>
            </w:r>
          </w:p>
        </w:tc>
        <w:tc>
          <w:tcPr>
            <w:tcW w:type="dxa" w:w="1728"/>
          </w:tcPr>
          <w:p>
            <w:r>
              <w:rPr>
                <w:sz w:val="20"/>
              </w:rPr>
              <w:t>0 stressors</w:t>
            </w:r>
          </w:p>
        </w:tc>
        <w:tc>
          <w:tcPr>
            <w:tcW w:type="dxa" w:w="1728"/>
          </w:tcPr>
          <w:p>
            <w:r>
              <w:rPr>
                <w:sz w:val="20"/>
              </w:rPr>
              <w:t>2</w:t>
            </w:r>
          </w:p>
        </w:tc>
        <w:tc>
          <w:tcPr>
            <w:tcW w:type="dxa" w:w="1728"/>
          </w:tcPr>
          <w:p>
            <w:r>
              <w:rPr>
                <w:sz w:val="20"/>
              </w:rPr>
              <w:t>4</w:t>
            </w:r>
          </w:p>
        </w:tc>
        <w:tc>
          <w:tcPr>
            <w:tcW w:type="dxa" w:w="1728"/>
          </w:tcPr>
          <w:p>
            <w:r>
              <w:rPr>
                <w:sz w:val="20"/>
              </w:rPr>
              <w:t>Difference, 4 vs 0 (95% CI)</w:t>
            </w:r>
          </w:p>
        </w:tc>
      </w:tr>
      <w:tr>
        <w:tc>
          <w:tcPr>
            <w:tcW w:type="dxa" w:w="1728"/>
          </w:tcPr>
          <w:p>
            <w:r>
              <w:rPr>
                <w:sz w:val="20"/>
              </w:rPr>
              <w:t>PTSD, 0 events</w:t>
            </w:r>
          </w:p>
        </w:tc>
        <w:tc>
          <w:tcPr>
            <w:tcW w:type="dxa" w:w="1728"/>
          </w:tcPr>
          <w:p>
            <w:r>
              <w:rPr>
                <w:sz w:val="20"/>
              </w:rPr>
              <w:t>6.5</w:t>
            </w:r>
          </w:p>
        </w:tc>
        <w:tc>
          <w:tcPr>
            <w:tcW w:type="dxa" w:w="1728"/>
          </w:tcPr>
          <w:p>
            <w:r>
              <w:rPr>
                <w:sz w:val="20"/>
              </w:rPr>
              <w:t>13.6</w:t>
            </w:r>
          </w:p>
        </w:tc>
        <w:tc>
          <w:tcPr>
            <w:tcW w:type="dxa" w:w="1728"/>
          </w:tcPr>
          <w:p>
            <w:r>
              <w:rPr>
                <w:sz w:val="20"/>
              </w:rPr>
              <w:t>28.4</w:t>
            </w:r>
          </w:p>
        </w:tc>
        <w:tc>
          <w:tcPr>
            <w:tcW w:type="dxa" w:w="1728"/>
          </w:tcPr>
          <w:p>
            <w:r>
              <w:rPr>
                <w:sz w:val="20"/>
              </w:rPr>
              <w:t>+21.8 (7.2 to 36.5)</w:t>
            </w:r>
          </w:p>
        </w:tc>
      </w:tr>
      <w:tr>
        <w:tc>
          <w:tcPr>
            <w:tcW w:type="dxa" w:w="1728"/>
          </w:tcPr>
          <w:p>
            <w:r>
              <w:rPr>
                <w:sz w:val="20"/>
              </w:rPr>
              <w:t>PTSD, 3 events</w:t>
            </w:r>
          </w:p>
        </w:tc>
        <w:tc>
          <w:tcPr>
            <w:tcW w:type="dxa" w:w="1728"/>
          </w:tcPr>
          <w:p>
            <w:r>
              <w:rPr>
                <w:sz w:val="20"/>
              </w:rPr>
              <w:t>19.6</w:t>
            </w:r>
          </w:p>
        </w:tc>
        <w:tc>
          <w:tcPr>
            <w:tcW w:type="dxa" w:w="1728"/>
          </w:tcPr>
          <w:p>
            <w:r>
              <w:rPr>
                <w:sz w:val="20"/>
              </w:rPr>
              <w:t>21.5</w:t>
            </w:r>
          </w:p>
        </w:tc>
        <w:tc>
          <w:tcPr>
            <w:tcW w:type="dxa" w:w="1728"/>
          </w:tcPr>
          <w:p>
            <w:r>
              <w:rPr>
                <w:sz w:val="20"/>
              </w:rPr>
              <w:t>23.7</w:t>
            </w:r>
          </w:p>
        </w:tc>
        <w:tc>
          <w:tcPr>
            <w:tcW w:type="dxa" w:w="1728"/>
          </w:tcPr>
          <w:p>
            <w:r>
              <w:rPr>
                <w:sz w:val="20"/>
              </w:rPr>
              <w:t>—</w:t>
            </w:r>
          </w:p>
        </w:tc>
      </w:tr>
      <w:tr>
        <w:tc>
          <w:tcPr>
            <w:tcW w:type="dxa" w:w="1728"/>
          </w:tcPr>
          <w:p>
            <w:r>
              <w:rPr>
                <w:sz w:val="20"/>
              </w:rPr>
              <w:t>PTSD, 5 events</w:t>
            </w:r>
          </w:p>
        </w:tc>
        <w:tc>
          <w:tcPr>
            <w:tcW w:type="dxa" w:w="1728"/>
          </w:tcPr>
          <w:p>
            <w:r>
              <w:rPr>
                <w:sz w:val="20"/>
              </w:rPr>
              <w:t>40.9</w:t>
            </w:r>
          </w:p>
        </w:tc>
        <w:tc>
          <w:tcPr>
            <w:tcW w:type="dxa" w:w="1728"/>
          </w:tcPr>
          <w:p>
            <w:r>
              <w:rPr>
                <w:sz w:val="20"/>
              </w:rPr>
              <w:t>39.6</w:t>
            </w:r>
          </w:p>
        </w:tc>
        <w:tc>
          <w:tcPr>
            <w:tcW w:type="dxa" w:w="1728"/>
          </w:tcPr>
          <w:p>
            <w:r>
              <w:rPr>
                <w:sz w:val="20"/>
              </w:rPr>
              <w:t>38.4</w:t>
            </w:r>
          </w:p>
        </w:tc>
        <w:tc>
          <w:tcPr>
            <w:tcW w:type="dxa" w:w="1728"/>
          </w:tcPr>
          <w:p>
            <w:r>
              <w:rPr>
                <w:sz w:val="20"/>
              </w:rPr>
              <w:t>−2.5 (−18.3 to 13.4)</w:t>
            </w:r>
          </w:p>
        </w:tc>
      </w:tr>
      <w:tr>
        <w:tc>
          <w:tcPr>
            <w:tcW w:type="dxa" w:w="1728"/>
          </w:tcPr>
          <w:p>
            <w:r>
              <w:rPr>
                <w:sz w:val="20"/>
              </w:rPr>
              <w:t>Depression, 0 events</w:t>
            </w:r>
          </w:p>
        </w:tc>
        <w:tc>
          <w:tcPr>
            <w:tcW w:type="dxa" w:w="1728"/>
          </w:tcPr>
          <w:p>
            <w:r>
              <w:rPr>
                <w:sz w:val="20"/>
              </w:rPr>
              <w:t>5.4</w:t>
            </w:r>
          </w:p>
        </w:tc>
        <w:tc>
          <w:tcPr>
            <w:tcW w:type="dxa" w:w="1728"/>
          </w:tcPr>
          <w:p>
            <w:r>
              <w:rPr>
                <w:sz w:val="20"/>
              </w:rPr>
              <w:t>12.6</w:t>
            </w:r>
          </w:p>
        </w:tc>
        <w:tc>
          <w:tcPr>
            <w:tcW w:type="dxa" w:w="1728"/>
          </w:tcPr>
          <w:p>
            <w:r>
              <w:rPr>
                <w:sz w:val="20"/>
              </w:rPr>
              <w:t>29.4</w:t>
            </w:r>
          </w:p>
        </w:tc>
        <w:tc>
          <w:tcPr>
            <w:tcW w:type="dxa" w:w="1728"/>
          </w:tcPr>
          <w:p>
            <w:r>
              <w:rPr>
                <w:sz w:val="20"/>
              </w:rPr>
              <w:t>+24.1 (10.5 to 37.6)</w:t>
            </w:r>
          </w:p>
        </w:tc>
      </w:tr>
      <w:tr>
        <w:tc>
          <w:tcPr>
            <w:tcW w:type="dxa" w:w="1728"/>
          </w:tcPr>
          <w:p>
            <w:r>
              <w:rPr>
                <w:sz w:val="20"/>
              </w:rPr>
              <w:t>Depression, 5 events</w:t>
            </w:r>
          </w:p>
        </w:tc>
        <w:tc>
          <w:tcPr>
            <w:tcW w:type="dxa" w:w="1728"/>
          </w:tcPr>
          <w:p>
            <w:r>
              <w:rPr>
                <w:sz w:val="20"/>
              </w:rPr>
              <w:t>35.3</w:t>
            </w:r>
          </w:p>
        </w:tc>
        <w:tc>
          <w:tcPr>
            <w:tcW w:type="dxa" w:w="1728"/>
          </w:tcPr>
          <w:p>
            <w:r>
              <w:rPr>
                <w:sz w:val="20"/>
              </w:rPr>
              <w:t>36.9</w:t>
            </w:r>
          </w:p>
        </w:tc>
        <w:tc>
          <w:tcPr>
            <w:tcW w:type="dxa" w:w="1728"/>
          </w:tcPr>
          <w:p>
            <w:r>
              <w:rPr>
                <w:sz w:val="20"/>
              </w:rPr>
              <w:t>38.7</w:t>
            </w:r>
          </w:p>
        </w:tc>
        <w:tc>
          <w:tcPr>
            <w:tcW w:type="dxa" w:w="1728"/>
          </w:tcPr>
          <w:p>
            <w:r>
              <w:rPr>
                <w:sz w:val="20"/>
              </w:rPr>
              <w:t>+3.5 (−7.7 to 14.6)</w:t>
            </w:r>
          </w:p>
        </w:tc>
      </w:tr>
      <w:tr>
        <w:tc>
          <w:tcPr>
            <w:tcW w:type="dxa" w:w="1728"/>
          </w:tcPr>
          <w:p>
            <w:r>
              <w:rPr>
                <w:sz w:val="20"/>
              </w:rPr>
              <w:t>Anxiety, 0 events</w:t>
            </w:r>
          </w:p>
        </w:tc>
        <w:tc>
          <w:tcPr>
            <w:tcW w:type="dxa" w:w="1728"/>
          </w:tcPr>
          <w:p>
            <w:r>
              <w:rPr>
                <w:sz w:val="20"/>
              </w:rPr>
              <w:t>7.1</w:t>
            </w:r>
          </w:p>
        </w:tc>
        <w:tc>
          <w:tcPr>
            <w:tcW w:type="dxa" w:w="1728"/>
          </w:tcPr>
          <w:p>
            <w:r>
              <w:rPr>
                <w:sz w:val="20"/>
              </w:rPr>
              <w:t>13.3</w:t>
            </w:r>
          </w:p>
        </w:tc>
        <w:tc>
          <w:tcPr>
            <w:tcW w:type="dxa" w:w="1728"/>
          </w:tcPr>
          <w:p>
            <w:r>
              <w:rPr>
                <w:sz w:val="20"/>
              </w:rPr>
              <w:t>24.9</w:t>
            </w:r>
          </w:p>
        </w:tc>
        <w:tc>
          <w:tcPr>
            <w:tcW w:type="dxa" w:w="1728"/>
          </w:tcPr>
          <w:p>
            <w:r>
              <w:rPr>
                <w:sz w:val="20"/>
              </w:rPr>
              <w:t>+17.8 (3.9 to 31.6)</w:t>
            </w:r>
          </w:p>
        </w:tc>
      </w:tr>
      <w:tr>
        <w:tc>
          <w:tcPr>
            <w:tcW w:type="dxa" w:w="1728"/>
          </w:tcPr>
          <w:p>
            <w:r>
              <w:rPr>
                <w:sz w:val="20"/>
              </w:rPr>
              <w:t>Anxiety, 5 events</w:t>
            </w:r>
          </w:p>
        </w:tc>
        <w:tc>
          <w:tcPr>
            <w:tcW w:type="dxa" w:w="1728"/>
          </w:tcPr>
          <w:p>
            <w:r>
              <w:rPr>
                <w:sz w:val="20"/>
              </w:rPr>
              <w:t>40.2</w:t>
            </w:r>
          </w:p>
        </w:tc>
        <w:tc>
          <w:tcPr>
            <w:tcW w:type="dxa" w:w="1728"/>
          </w:tcPr>
          <w:p>
            <w:r>
              <w:rPr>
                <w:sz w:val="20"/>
              </w:rPr>
              <w:t>38.2</w:t>
            </w:r>
          </w:p>
        </w:tc>
        <w:tc>
          <w:tcPr>
            <w:tcW w:type="dxa" w:w="1728"/>
          </w:tcPr>
          <w:p>
            <w:r>
              <w:rPr>
                <w:sz w:val="20"/>
              </w:rPr>
              <w:t>36.2</w:t>
            </w:r>
          </w:p>
        </w:tc>
        <w:tc>
          <w:tcPr>
            <w:tcW w:type="dxa" w:w="1728"/>
          </w:tcPr>
          <w:p>
            <w:r>
              <w:rPr>
                <w:sz w:val="20"/>
              </w:rPr>
              <w:t>−4.0 (−15.1 to 7.1)</w:t>
            </w:r>
          </w:p>
        </w:tc>
      </w:tr>
    </w:tbl>
    <w:p>
      <w:pPr>
        <w:spacing w:line="480" w:lineRule="auto"/>
      </w:pPr>
      <w:r>
        <w:t>From adjusted spline models (N=1,706). Predictions above five events are omitted as unstable (few respondents with 6+ event types).</w:t>
      </w:r>
    </w:p>
    <w:p>
      <w:pPr>
        <w:spacing w:line="480" w:lineRule="auto"/>
      </w:pPr>
      <w:r>
        <w:rPr>
          <w:b/>
        </w:rPr>
        <w:t>Figure 1.</w:t>
      </w:r>
      <w:r>
        <w:t xml:space="preserve"> Adjusted predicted prevalence of probable PTSD by socioeconomic stressor count at fixed trauma exposure levels (0, 1, 3, and 5 event types), with 95% confidence intervals. [Panels or companion figures for depression and anxiety as supplementary.]</w:t>
      </w:r>
    </w:p>
    <w:p>
      <w:pPr>
        <w:pStyle w:val="Heading1"/>
      </w:pPr>
      <w:r>
        <w:t>References</w:t>
      </w:r>
    </w:p>
    <w:p>
      <w:pPr>
        <w:spacing w:line="480" w:lineRule="auto"/>
      </w:pPr>
      <w:r>
        <w:t>[Carry over from Chapter 4 and complete: Bass et al., 2013; Fernando et al., 2010; Hammen, 2005; Hou et al., 2020; International Crisis Group, 2025; Janoff-Bulman, 1992; Jordans et al., 2010; Litz &amp; Gray, 2002; McEwen, 1998; McLaughlin et al., 2010; Miller &amp; Rasmussen, 2010; Miller et al., 2008; Rahman et al., 2016; Robjant &amp; Fazel, 2010; Scharpf et al., 2021; van Rooij et al., 2016; Yehuda et al., 2015; MaRVIN validation study (Manuscript 1); MaRVIN prevalence study (Manuscript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