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ISTSS 2026 Symposium — Consistency Review, Unifying Thread, and Talk Scripts</w:t>
      </w:r>
    </w:p>
    <w:p>
      <w:r>
        <w:t xml:space="preserve">Symposium: </w:t>
      </w:r>
      <w:r>
        <w:rPr>
          <w:i/>
        </w:rPr>
        <w:t>Measuring and Understanding Mental Health in the Context of Mass Trauma and Violence in Nigeria: From Instrument Validation to Policy Action</w:t>
      </w:r>
      <w:r>
        <w:t>. Thursday 24 September 2026, 1:45–3:00 PM, Salon C. Chair: Jaimie Gradus. Discussant: Nuha Alshabani.</w:t>
      </w:r>
    </w:p>
    <w:p>
      <w:r>
        <w:t>Decks reviewed: ISTSS_Jaimie_FINAL (18 slides), istss_salma_full_FINAL_2 (26), istss_mohammed_full_2 (30), istss_ojo_policy_2 (12), against the submitted symposium abstract.</w:t>
      </w:r>
    </w:p>
    <w:p>
      <w:pPr>
        <w:pStyle w:val="Heading1"/>
      </w:pPr>
      <w:r>
        <w:t>Part 1. Discrepancies</w:t>
      </w:r>
    </w:p>
    <w:p>
      <w:r>
        <w:t>Ordered by how visible each one is to the room. The first group will be noticed; fix these before 1:45 if you can.</w:t>
      </w:r>
    </w:p>
    <w:p>
      <w:pPr>
        <w:pStyle w:val="Heading2"/>
      </w:pPr>
      <w:r>
        <w:t>Must fix (the audience will see the contradiction)</w:t>
      </w:r>
    </w:p>
    <w:p>
      <w:r>
        <w:rPr>
          <w:b/>
        </w:rPr>
        <w:t>1. "1 in 5" versus "nearly 1 in 3" (Ojo slide 6).</w:t>
      </w:r>
    </w:p>
    <w:p>
      <w:r>
        <w:t>Dr. Ojo's findings slide says "1 in 5 adults with at least one condition." Your Salma talk, twenty minutes earlier, says 30.4%, "nearly one in three," on three separate slides (17, 18, 26). Change Ojo slide 6 to "Nearly 1 in 3 adults with at least one condition." This is the single most visible error in the set.</w:t>
      </w:r>
    </w:p>
    <w:p>
      <w:r>
        <w:rPr>
          <w:b/>
        </w:rPr>
        <w:t>2. Fieldwork dates.</w:t>
      </w:r>
    </w:p>
    <w:p>
      <w:r>
        <w:t>Salma slide 11 and Mohammed slide 12 both say "fieldwork, August to December 2025." Salma's own speaker note on slide 10, both manuscripts, and everything we reconciled on 21 September say May to October 2025. Pick the true window and make both slides match. If May–October is correct, edit the two "The Sample at a Glance" slides.</w:t>
      </w:r>
    </w:p>
    <w:p>
      <w:r>
        <w:rPr>
          <w:b/>
        </w:rPr>
        <w:t>3. GAD-7 cut-point and its "validated" status.</w:t>
      </w:r>
    </w:p>
    <w:p>
      <w:r>
        <w:t>Jaimie (slides 13, 16) presents the GAD-7 at a standard threshold of ≥8 with poor discrimination (AUC 0.576) and concludes it "requires further evaluation before use." Twenty minutes later, Salma slide 12 shows GAD-7 ≥10 under the heading "Validated Cut-Offs" with the footnote "validated against SCID-5 psychiatrist interview in this population." Mohammed slide 13 repeats the footnote. Nuha will notice.</w:t>
      </w:r>
    </w:p>
    <w:p>
      <w:pPr>
        <w:pStyle w:val="ListBullet"/>
      </w:pPr>
      <w:r>
        <w:t>Change the footnote on Salma 12 and Mohammed 13 to: "PCL-5 and PHQ-9 cut-offs from the validation study (paper 1); GAD-7 at the international ≥10, interpreted cautiously given its limited discrimination in paper 1."</w:t>
      </w:r>
    </w:p>
    <w:p>
      <w:pPr>
        <w:pStyle w:val="ListBullet"/>
      </w:pPr>
      <w:r>
        <w:t>The footnote is also technically wrong for depression and anxiety: Jaimie's slide 10 says SCID-5 was the criterion for PTSD and the MINI for depression and anxiety. The fix above removes the claim.</w:t>
      </w:r>
    </w:p>
    <w:p>
      <w:pPr>
        <w:pStyle w:val="ListBullet"/>
      </w:pPr>
      <w:r>
        <w:t>The submitted abstract lists anxiety at GAD-7 ≥8 for Salma's paper. The decks use ≥10. The script below handles this in one sentence.</w:t>
      </w:r>
    </w:p>
    <w:p>
      <w:r>
        <w:rPr>
          <w:b/>
        </w:rPr>
        <w:t>4. Prior Nigerian prevalence range.</w:t>
      </w:r>
    </w:p>
    <w:p>
      <w:r>
        <w:t>Jaimie slide 3: "Nigerian estimates vary even more widely (PTSD 20–94%; depression 19–98%)." Salma slide 7: "Reported PTSD prevalence 42–67%, depression 35–55%." Two ranges for the same literature, back to back. Easiest fix: delete the numbers from Salma 7 and say "widely varying estimates, as Jaimie showed." The script does this.</w:t>
      </w:r>
    </w:p>
    <w:p>
      <w:r>
        <w:rPr>
          <w:b/>
        </w:rPr>
        <w:t>5. Prevalence numbers versus the submitted abstract.</w:t>
      </w:r>
    </w:p>
    <w:p>
      <w:r>
        <w:t>The printed abstract says survey-weighted prevalence of 20.8% (PTSD), 23.2% (depression), and 24.3% (anxiety), N = 1,764, with female sex, food insecurity, and displacement duration as predictors. The deck presents 18.5%, 21.0%, and 20.7%, N = 1,774, design-adjusted with equal weights, and the predictors shown are trauma count and camp residence. Anyone who read the program will see the change. Do not hide it; one sentence in the script (slide 17) covers it: the abstract carried preliminary estimates, and these are the final estimates from the fully cleaned sample.</w:t>
      </w:r>
    </w:p>
    <w:p>
      <w:r>
        <w:t>The same applies to your own abstract, which says "survey-weighted regression" and N = 1,764. The deck says equal weights and N = 1,729. Covered by the same sentence.</w:t>
      </w:r>
    </w:p>
    <w:p>
      <w:r>
        <w:rPr>
          <w:b/>
        </w:rPr>
        <w:t>6. Hypothesis numbering inside your deck.</w:t>
      </w:r>
    </w:p>
    <w:p>
      <w:r>
        <w:t>Slide 10 states two hypotheses (H1 interaction, H2 direction). Slide 22's title says "H2 and H3 Hold," slide 25 refers to H1, H2, and H3, and the slide 18 note says "confirms hypothesis one" for the main effect, which is no longer a hypothesis. Fix: slide 22 title → "Both Hypotheses Hold Under Prespecified Checks"; slide 25 first line → "The exposures do not simply add (H1), and the interaction runs toward saturation (H2)."</w:t>
      </w:r>
    </w:p>
    <w:p>
      <w:pPr>
        <w:pStyle w:val="Heading2"/>
      </w:pPr>
      <w:r>
        <w:t>Should fix (a careful reader or the discussant may catch it)</w:t>
      </w:r>
    </w:p>
    <w:p>
      <w:r>
        <w:rPr>
          <w:b/>
        </w:rPr>
        <w:t>7. Clustering unit in your deck.</w:t>
      </w:r>
    </w:p>
    <w:p>
      <w:r>
        <w:t>Slide 12 says "Adjusted models: N = 1,706 across 70 ward clusters." Slides 14 and 28 say "community PSUs." The estimates in the deck were produced with community-level clustering. Following your decision to stay quiet on the PSU, change slide 12's footer line to "Adjusted models: N = 1,706" and keep "70 wards across 12 LGAs" only as a description of the sample. Salma's slides 10 and 11 use "70 wards" the same way (as a sampling description), which is fine, but her slide 13 says "community PSUs" and her notes on slide 10 say "573 communities." Consistent enough if nobody reads "70 ward clusters" as the variance unit, which is why the one line on your slide 12 should go.</w:t>
      </w:r>
    </w:p>
    <w:p>
      <w:r>
        <w:rPr>
          <w:b/>
        </w:rPr>
        <w:t>8. Your high-trauma numbers (slides 18, 20, 21).</w:t>
      </w:r>
    </w:p>
    <w:p>
      <w:r>
        <w:t>On 24 September we found that the predicted prevalences at five events used a wrong spline-basis constant. The corrected PTSD run gives:</w:t>
      </w:r>
    </w:p>
    <w:p>
      <w:pPr>
        <w:pStyle w:val="ListBullet"/>
      </w:pPr>
      <w:r>
        <w:t>Slide 18 bars: 6.6 / 19.5 / 39.6 (the deck shows 6.5 / 19.6 / 40.9).</w:t>
      </w:r>
    </w:p>
    <w:p>
      <w:pPr>
        <w:pStyle w:val="ListBullet"/>
      </w:pPr>
      <w:r>
        <w:t>Slide 20, PTSD at five or more events: −7.3 points, still null (the deck shows −2.5).</w:t>
      </w:r>
    </w:p>
    <w:p>
      <w:pPr>
        <w:pStyle w:val="ListBullet"/>
      </w:pPr>
      <w:r>
        <w:t>Slide 21, the "5+ events" line: 39.6, 35.7, 32.2, 29.1 (the deck shows 40.9, 39.6, 38.4, 37.2).</w:t>
      </w:r>
    </w:p>
    <w:p>
      <w:r>
        <w:t>The corrected values make saturation look stronger. Depression and anxiety at five events have not been rerun. Two options: update the three PTSD values now and leave depression and anxiety as they are, or leave every slide as is today (the direction is right and the current values are conservative) and fix everything for the manuscript. The script is written so it works with either: it never reads the five-event numbers aloud, it says "null for all three."</w:t>
      </w:r>
    </w:p>
    <w:p>
      <w:r>
        <w:rPr>
          <w:b/>
        </w:rPr>
        <w:t>9. "Not a ceiling… sits at ~40%" (slide 22) and "~40% prevalence regardless of stressors" (slide 27).</w:t>
      </w:r>
      <w:r>
        <w:t xml:space="preserve"> Both still hold under the corrected numbers (39.6% at zero stressors). No change needed.</w:t>
      </w:r>
    </w:p>
    <w:p>
      <w:r>
        <w:rPr>
          <w:b/>
        </w:rPr>
        <w:t>10. Salma speaker notes copied onto the wrong slides.</w:t>
      </w:r>
    </w:p>
    <w:p>
      <w:r>
        <w:t>The crisis-landscape note ("Nigeria has multiple overlapping crises…") is pasted into slides 9, 15, 23, 25, and 26, including the Conclusion slide. The slide 12 note describes the trauma and stressor measures, which belong in your talk. If you read from Presenter View, these will derail you. The script below replaces all of them.</w:t>
      </w:r>
    </w:p>
    <w:p>
      <w:r>
        <w:rPr>
          <w:b/>
        </w:rPr>
        <w:t>11. Broken text box, Salma slide 13.</w:t>
      </w:r>
      <w:r>
        <w:t xml:space="preserve"> "Trauma: Life Events Checklist count · I" / "DP camp residence: field-verified at sampling" is split mid-word across two lines. Rejoin as "IDP camp residence."</w:t>
      </w:r>
    </w:p>
    <w:p>
      <w:r>
        <w:rPr>
          <w:b/>
        </w:rPr>
        <w:t>12. Salma slides 5 and 6 repeat each other.</w:t>
      </w:r>
      <w:r>
        <w:t xml:space="preserve"> Both show GDP per capita, the workforce ratio, 250 psychiatrists, and &lt;10% receiving care. Keep slide 6 (the visual) and hide slide 5, or read slide 5 and hide slide 6.</w:t>
      </w:r>
    </w:p>
    <w:p>
      <w:r>
        <w:rPr>
          <w:b/>
        </w:rPr>
        <w:t>13. The same statistics appear in three talks.</w:t>
      </w:r>
      <w:r>
        <w:t xml:space="preserve"> GDP per capita, 63% multidimensionally poor, 41% food inflation, 0.6 workers per 100,000, 250 psychiatrists, and &lt;10% treated appear in Salma 5–6, Mohammed 5–6, and Ojo 5 and 9. Since you present talks 2 and 3 back to back, repeating them in your own second talk will be conspicuous. Recommendation: Salma's talk owns the economy, your talk drops it entirely, and Dr. Ojo owns the workforce numbers. The script hides your slides 4, 5, and 6.</w:t>
      </w:r>
    </w:p>
    <w:p>
      <w:r>
        <w:rPr>
          <w:b/>
        </w:rPr>
        <w:t>14. Mental Health Act year and the policy slide.</w:t>
      </w:r>
    </w:p>
    <w:p>
      <w:pPr>
        <w:pStyle w:val="ListBullet"/>
      </w:pPr>
      <w:r>
        <w:t>Ojo's title and slide 3 say the 2021 Mental Health Act (your chosen convention). The symposium abstract says "Nigeria's 2023 Mental Health Act," and his own abstract says "2021 Mental Health Policy." The deck is internally consistent; if anyone asks, the bill passed in 2021 and was signed in January 2023.</w:t>
      </w:r>
    </w:p>
    <w:p>
      <w:pPr>
        <w:pStyle w:val="ListBullet"/>
      </w:pPr>
      <w:r>
        <w:t>Ojo slide 3 ends with "2023 National Mental Health Policy:" and nothing after the colon. Either complete the line or delete it.</w:t>
      </w:r>
    </w:p>
    <w:p>
      <w:r>
        <w:rPr>
          <w:b/>
        </w:rPr>
        <w:t>15. Small text errors.</w:t>
      </w:r>
    </w:p>
    <w:p>
      <w:pPr>
        <w:pStyle w:val="ListBullet"/>
      </w:pPr>
      <w:r>
        <w:t>Your slide 28: "not a casual mechanism" → "causal."</w:t>
      </w:r>
    </w:p>
    <w:p>
      <w:pPr>
        <w:pStyle w:val="ListBullet"/>
      </w:pPr>
      <w:r>
        <w:t>Your slide 1: "Washington University Bursky School of Public Health." Please check the school's name; if it is not the official name, use "Washington University in St. Louis, School of Public Health," which matches Salma's slide and both manuscripts.</w:t>
      </w:r>
    </w:p>
    <w:p>
      <w:pPr>
        <w:pStyle w:val="ListBullet"/>
      </w:pPr>
      <w:r>
        <w:t>Jaimie slide 2 still shows the Amedco template with "(insert name)" and the "-or-" alternative. Worth a quiet word to her before the session.</w:t>
      </w:r>
    </w:p>
    <w:p>
      <w:pPr>
        <w:pStyle w:val="ListBullet"/>
      </w:pPr>
      <w:r>
        <w:t>Jaimie slides 13 and 14 give the PHQ-9 AUC as .697 and .698. Trivial, but the manuscript says 0.70.</w:t>
      </w:r>
    </w:p>
    <w:p>
      <w:pPr>
        <w:pStyle w:val="ListBullet"/>
      </w:pPr>
      <w:r>
        <w:t>Jaimie's slide 12 says AIC favoured the 6-factor model and BIC the DSM-5 4-factor model; the printed abstract says CFA "supported the DSM-5 four-factor structure." Her call; the slide is more accurate than the abstract.</w:t>
      </w:r>
    </w:p>
    <w:p>
      <w:pPr>
        <w:pStyle w:val="Heading2"/>
      </w:pPr>
      <w:r>
        <w:t>Checked and consistent</w:t>
      </w:r>
    </w:p>
    <w:p>
      <w:pPr>
        <w:pStyle w:val="ListBullet"/>
      </w:pPr>
      <w:r>
        <w:t>Sample flow: Salma 1,774 interviewed → your 1,729 who completed the trauma inventory → 1,706 in adjusted models. Your script names the bridge aloud.</w:t>
      </w:r>
    </w:p>
    <w:p>
      <w:pPr>
        <w:pStyle w:val="ListBullet"/>
      </w:pPr>
      <w:r>
        <w:t>Trauma distribution: Salma "18.0% three or more" (of 1,774) and your 13% + 5.5% = 18.5% (of 1,729) agree once the denominators are named.</w:t>
      </w:r>
    </w:p>
    <w:p>
      <w:pPr>
        <w:pStyle w:val="ListBullet"/>
      </w:pPr>
      <w:r>
        <w:t>Camp prevalence ratios 1.9–2.9 (Ojo slide 6) match Salma's Model B (1.94–2.87).</w:t>
      </w:r>
    </w:p>
    <w:p>
      <w:pPr>
        <w:pStyle w:val="ListBullet"/>
      </w:pPr>
      <w:r>
        <w:t>PCL-5 ≥38 versus 33 is identical in all four decks.</w:t>
      </w:r>
    </w:p>
    <w:p>
      <w:pPr>
        <w:pStyle w:val="ListBullet"/>
      </w:pPr>
      <w:r>
        <w:t>The 28-fold state variation, the workforce figures (0.6 versus 5.0 per 100,000; one psychiatrist per ~800,000; &lt;10% receiving care), and the camp-versus-community contrast (40.4% versus 10.7%) are identical wherever they appear.</w:t>
      </w:r>
    </w:p>
    <w:p>
      <w:pPr>
        <w:pStyle w:val="ListBullet"/>
      </w:pPr>
      <w:r>
        <w:t>Salma's unadjusted trauma gradient (7.9% → 45.2%) and your adjusted gradient at zero stressors (6.5% → ~40%) are different quantities that tell the same story. Your script names the difference so nobody thinks the numbers conflict.</w:t>
      </w:r>
    </w:p>
    <w:p>
      <w:pPr>
        <w:pStyle w:val="Heading1"/>
      </w:pPr>
      <w:r>
        <w:t>Part 2. The Unifying Thread</w:t>
      </w:r>
    </w:p>
    <w:p>
      <w:pPr>
        <w:pStyle w:val="Heading2"/>
      </w:pPr>
      <w:r>
        <w:t>One question, asked at four levels</w:t>
      </w:r>
    </w:p>
    <w:p>
      <w:r>
        <w:t xml:space="preserve">Every paper in the session answers the same question at a different level: </w:t>
      </w:r>
      <w:r>
        <w:rPr>
          <w:b/>
        </w:rPr>
        <w:t>what happens when one standard is applied to everyone?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20"/>
              </w:rPr>
            </w:r>
            <w:r>
              <w:rPr>
                <w:sz w:val="20"/>
              </w:rPr>
              <w:t>Talk</w:t>
            </w:r>
          </w:p>
        </w:tc>
        <w:tc>
          <w:tcPr>
            <w:tcW w:type="dxa" w:w="2160"/>
          </w:tcPr>
          <w:p>
            <w:r>
              <w:rPr>
                <w:sz w:val="20"/>
              </w:rPr>
            </w:r>
            <w:r>
              <w:rPr>
                <w:sz w:val="20"/>
              </w:rPr>
              <w:t>Level</w:t>
            </w:r>
          </w:p>
        </w:tc>
        <w:tc>
          <w:tcPr>
            <w:tcW w:type="dxa" w:w="2160"/>
          </w:tcPr>
          <w:p>
            <w:r>
              <w:rPr>
                <w:sz w:val="20"/>
              </w:rPr>
            </w:r>
            <w:r>
              <w:rPr>
                <w:sz w:val="20"/>
              </w:rPr>
              <w:t>The uniform assumption</w:t>
            </w:r>
          </w:p>
        </w:tc>
        <w:tc>
          <w:tcPr>
            <w:tcW w:type="dxa" w:w="2160"/>
          </w:tcPr>
          <w:p>
            <w:r>
              <w:rPr>
                <w:sz w:val="20"/>
              </w:rPr>
            </w:r>
            <w:r>
              <w:rPr>
                <w:sz w:val="20"/>
              </w:rPr>
              <w:t>What MaRVIN found</w:t>
            </w:r>
          </w:p>
        </w:tc>
      </w:tr>
      <w:tr>
        <w:tc>
          <w:tcPr>
            <w:tcW w:type="dxa" w:w="2160"/>
          </w:tcPr>
          <w:p>
            <w:r>
              <w:rPr>
                <w:sz w:val="20"/>
              </w:rPr>
            </w:r>
            <w:r>
              <w:rPr>
                <w:sz w:val="20"/>
              </w:rPr>
              <w:t>1. Jaimie</w:t>
            </w:r>
          </w:p>
        </w:tc>
        <w:tc>
          <w:tcPr>
            <w:tcW w:type="dxa" w:w="2160"/>
          </w:tcPr>
          <w:p>
            <w:r>
              <w:rPr>
                <w:sz w:val="20"/>
              </w:rPr>
            </w:r>
            <w:r>
              <w:rPr>
                <w:sz w:val="20"/>
              </w:rPr>
              <w:t>Instrument</w:t>
            </w:r>
          </w:p>
        </w:tc>
        <w:tc>
          <w:tcPr>
            <w:tcW w:type="dxa" w:w="2160"/>
          </w:tcPr>
          <w:p>
            <w:r>
              <w:rPr>
                <w:sz w:val="20"/>
              </w:rPr>
            </w:r>
            <w:r>
              <w:rPr>
                <w:sz w:val="20"/>
              </w:rPr>
              <w:t>International cut-points fit Nigeria</w:t>
            </w:r>
          </w:p>
        </w:tc>
        <w:tc>
          <w:tcPr>
            <w:tcW w:type="dxa" w:w="2160"/>
          </w:tcPr>
          <w:p>
            <w:r>
              <w:rPr>
                <w:sz w:val="20"/>
              </w:rPr>
            </w:r>
            <w:r>
              <w:rPr>
                <w:sz w:val="20"/>
              </w:rPr>
              <w:t>PCL-5 needs ≥38, not 33; the GAD-7 barely discriminates</w:t>
            </w:r>
          </w:p>
        </w:tc>
      </w:tr>
      <w:tr>
        <w:tc>
          <w:tcPr>
            <w:tcW w:type="dxa" w:w="2160"/>
          </w:tcPr>
          <w:p>
            <w:r>
              <w:rPr>
                <w:sz w:val="20"/>
              </w:rPr>
            </w:r>
            <w:r>
              <w:rPr>
                <w:sz w:val="20"/>
              </w:rPr>
              <w:t>2. Salma (you)</w:t>
            </w:r>
          </w:p>
        </w:tc>
        <w:tc>
          <w:tcPr>
            <w:tcW w:type="dxa" w:w="2160"/>
          </w:tcPr>
          <w:p>
            <w:r>
              <w:rPr>
                <w:sz w:val="20"/>
              </w:rPr>
            </w:r>
            <w:r>
              <w:rPr>
                <w:sz w:val="20"/>
              </w:rPr>
              <w:t>Place</w:t>
            </w:r>
          </w:p>
        </w:tc>
        <w:tc>
          <w:tcPr>
            <w:tcW w:type="dxa" w:w="2160"/>
          </w:tcPr>
          <w:p>
            <w:r>
              <w:rPr>
                <w:sz w:val="20"/>
              </w:rPr>
            </w:r>
            <w:r>
              <w:rPr>
                <w:sz w:val="20"/>
              </w:rPr>
              <w:t>Burden is spread evenly, and trauma explains it</w:t>
            </w:r>
          </w:p>
        </w:tc>
        <w:tc>
          <w:tcPr>
            <w:tcW w:type="dxa" w:w="2160"/>
          </w:tcPr>
          <w:p>
            <w:r>
              <w:rPr>
                <w:sz w:val="20"/>
              </w:rPr>
            </w:r>
            <w:r>
              <w:rPr>
                <w:sz w:val="20"/>
              </w:rPr>
              <w:t>28-fold variation across states; camps carry risk trauma does not explain; the burden clusters by community</w:t>
            </w:r>
          </w:p>
        </w:tc>
      </w:tr>
      <w:tr>
        <w:tc>
          <w:tcPr>
            <w:tcW w:type="dxa" w:w="2160"/>
          </w:tcPr>
          <w:p>
            <w:r>
              <w:rPr>
                <w:sz w:val="20"/>
              </w:rPr>
            </w:r>
            <w:r>
              <w:rPr>
                <w:sz w:val="20"/>
              </w:rPr>
              <w:t>3. Mohammed</w:t>
            </w:r>
          </w:p>
        </w:tc>
        <w:tc>
          <w:tcPr>
            <w:tcW w:type="dxa" w:w="2160"/>
          </w:tcPr>
          <w:p>
            <w:r>
              <w:rPr>
                <w:sz w:val="20"/>
              </w:rPr>
            </w:r>
            <w:r>
              <w:rPr>
                <w:sz w:val="20"/>
              </w:rPr>
              <w:t>Person</w:t>
            </w:r>
          </w:p>
        </w:tc>
        <w:tc>
          <w:tcPr>
            <w:tcW w:type="dxa" w:w="2160"/>
          </w:tcPr>
          <w:p>
            <w:r>
              <w:rPr>
                <w:sz w:val="20"/>
              </w:rPr>
            </w:r>
            <w:r>
              <w:rPr>
                <w:sz w:val="20"/>
              </w:rPr>
              <w:t>Every stressor harms everyone equally</w:t>
            </w:r>
          </w:p>
        </w:tc>
        <w:tc>
          <w:tcPr>
            <w:tcW w:type="dxa" w:w="2160"/>
          </w:tcPr>
          <w:p>
            <w:r>
              <w:rPr>
                <w:sz w:val="20"/>
              </w:rPr>
            </w:r>
            <w:r>
              <w:rPr>
                <w:sz w:val="20"/>
              </w:rPr>
              <w:t>The stressor effect is concentrated among the least exposed and disappears at five or more events</w:t>
            </w:r>
          </w:p>
        </w:tc>
      </w:tr>
      <w:tr>
        <w:tc>
          <w:tcPr>
            <w:tcW w:type="dxa" w:w="2160"/>
          </w:tcPr>
          <w:p>
            <w:r>
              <w:rPr>
                <w:sz w:val="20"/>
              </w:rPr>
            </w:r>
            <w:r>
              <w:rPr>
                <w:sz w:val="20"/>
              </w:rPr>
              <w:t>4. Dr. Ojo</w:t>
            </w:r>
          </w:p>
        </w:tc>
        <w:tc>
          <w:tcPr>
            <w:tcW w:type="dxa" w:w="2160"/>
          </w:tcPr>
          <w:p>
            <w:r>
              <w:rPr>
                <w:sz w:val="20"/>
              </w:rPr>
            </w:r>
            <w:r>
              <w:rPr>
                <w:sz w:val="20"/>
              </w:rPr>
              <w:t>Policy</w:t>
            </w:r>
          </w:p>
        </w:tc>
        <w:tc>
          <w:tcPr>
            <w:tcW w:type="dxa" w:w="2160"/>
          </w:tcPr>
          <w:p>
            <w:r>
              <w:rPr>
                <w:sz w:val="20"/>
              </w:rPr>
            </w:r>
            <w:r>
              <w:rPr>
                <w:sz w:val="20"/>
              </w:rPr>
              <w:t>One national program for all</w:t>
            </w:r>
          </w:p>
        </w:tc>
        <w:tc>
          <w:tcPr>
            <w:tcW w:type="dxa" w:w="2160"/>
          </w:tcPr>
          <w:p>
            <w:r>
              <w:rPr>
                <w:sz w:val="20"/>
              </w:rPr>
            </w:r>
            <w:r>
              <w:rPr>
                <w:sz w:val="20"/>
              </w:rPr>
              <w:t>Calibrated screening, needs-based allocation, camp action, and a two-tier service model</w:t>
            </w:r>
          </w:p>
        </w:tc>
      </w:tr>
    </w:tbl>
    <w:p>
      <w:r>
        <w:t xml:space="preserve">The phrase to repeat in each handover is </w:t>
      </w:r>
      <w:r>
        <w:rPr>
          <w:b/>
        </w:rPr>
        <w:t>"one size does not fit."</w:t>
      </w:r>
      <w:r>
        <w:t xml:space="preserve"> Jaimie can open with it, each speaker can pick it up once, and Nuha gets a ready-made frame for the discussion.</w:t>
      </w:r>
    </w:p>
    <w:p>
      <w:pPr>
        <w:pStyle w:val="Heading2"/>
      </w:pPr>
      <w:r>
        <w:t>The objects that travel between talks</w:t>
      </w:r>
    </w:p>
    <w:p>
      <w:r>
        <w:t>These are the concrete items each speaker should name when receiving the baton, so the room hears one study and not four:</w:t>
      </w:r>
    </w:p>
    <w:p>
      <w:pPr>
        <w:pStyle w:val="ListBullet"/>
      </w:pPr>
      <w:r>
        <w:rPr>
          <w:b/>
        </w:rPr>
        <w:t>The number 38.</w:t>
      </w:r>
      <w:r>
        <w:t xml:space="preserve"> Jaimie derives it; Salma uses it to count; you use it to define the outcome; Dr. Ojo turns it into a national screening standard.</w:t>
      </w:r>
    </w:p>
    <w:p>
      <w:pPr>
        <w:pStyle w:val="ListBullet"/>
      </w:pPr>
      <w:r>
        <w:rPr>
          <w:b/>
        </w:rPr>
        <w:t>The 1,774 people.</w:t>
      </w:r>
      <w:r>
        <w:t xml:space="preserve"> Salma introduces them; you say "1,729 of the same people"; Dr. Ojo speaks for what the ministry will do for them.</w:t>
      </w:r>
    </w:p>
    <w:p>
      <w:pPr>
        <w:pStyle w:val="ListBullet"/>
      </w:pPr>
      <w:r>
        <w:rPr>
          <w:b/>
        </w:rPr>
        <w:t>Borno's flat trauma gradient.</w:t>
      </w:r>
      <w:r>
        <w:t xml:space="preserve"> Salma shows the trauma association is flat where exposure is highest. You open by picking that up. That is the one real scientific bridge between talks 2 and 3; use it.</w:t>
      </w:r>
    </w:p>
    <w:p>
      <w:pPr>
        <w:pStyle w:val="ListBullet"/>
      </w:pPr>
      <w:r>
        <w:rPr>
          <w:b/>
        </w:rPr>
        <w:t>The two tiers.</w:t>
      </w:r>
      <w:r>
        <w:t xml:space="preserve"> Your talk ends on stratified need; Dr. Ojo's slide 9 is the two-tier model. Hand him that exact phrase.</w:t>
      </w:r>
    </w:p>
    <w:p>
      <w:pPr>
        <w:pStyle w:val="Heading2"/>
      </w:pPr>
      <w:r>
        <w:t>Handover lines</w:t>
      </w:r>
    </w:p>
    <w:p>
      <w:r>
        <w:rPr>
          <w:b/>
        </w:rPr>
        <w:t>Jaimie → Salma talk (you).</w:t>
      </w:r>
      <w:r>
        <w:t xml:space="preserve"> Suggested closing line for Jaimie: "With the instruments calibrated, the next question is what they find at scale. Mohammed will present Dr. Abdalla's prevalence paper on her behalf, and then his own."</w:t>
      </w:r>
    </w:p>
    <w:p>
      <w:r>
        <w:rPr>
          <w:b/>
        </w:rPr>
        <w:t>Salma talk → your talk (same speaker, no applause break needed).</w:t>
      </w:r>
      <w:r>
        <w:t xml:space="preserve"> "That is Dr. Abdalla's paper. I want to stay with one result from it, the flat trauma gradient in Borno, because it is where my own paper begins." Change slides without pausing. It saves thirty seconds and makes the link explicit.</w:t>
      </w:r>
    </w:p>
    <w:p>
      <w:r>
        <w:rPr>
          <w:b/>
        </w:rPr>
        <w:t>Your talk → Dr. Ojo.</w:t>
      </w:r>
      <w:r>
        <w:t xml:space="preserve"> "If need comes in two tiers, the service system has to be built in two tiers. That is a policy question, and Dr. Ojo is the person in Nigeria who has to answer it."</w:t>
      </w:r>
    </w:p>
    <w:p>
      <w:r>
        <w:rPr>
          <w:b/>
        </w:rPr>
        <w:t>Dr. Ojo → Nuha.</w:t>
      </w:r>
      <w:r>
        <w:t xml:space="preserve"> His slide 11 ("What We Ask of This Room") already works as the bridge. A closing sentence for him: "Instrument, place, person, policy: at every level the evidence says one size does not fit. I look forward to Dr. Alshabani's reading of what that asks of the field."</w:t>
      </w:r>
    </w:p>
    <w:p>
      <w:pPr>
        <w:pStyle w:val="Heading2"/>
      </w:pPr>
      <w:r>
        <w:t>Timing</w:t>
      </w:r>
    </w:p>
    <w:p>
      <w:r>
        <w:t>Seventy-five minutes: about 4 minutes of chair opening, four talks of about 13 minutes, and 15 minutes for the discussant and questions. Your two talks are adjacent (about 2:03–2:31). At 130 words per minute, each script below runs 12–13 minutes. Your deck has 30 slides and Salma's has 26; both are long for the slot. The scripts tell you which slides to hide.</w:t>
      </w:r>
    </w:p>
    <w:p>
      <w:pPr>
        <w:pStyle w:val="Heading1"/>
      </w:pPr>
      <w:r>
        <w:t>Part 3. Script — Talk 2, Prevalence and Predictors (presented on behalf of Dr. Salma Abdalla)</w:t>
      </w:r>
    </w:p>
    <w:p>
      <w:r>
        <w:rPr>
          <w:i/>
        </w:rPr>
        <w:t>About 1,650 words, 12½ minutes. Slide numbers refer to istss_salma_full_FINAL_2.</w:t>
      </w:r>
    </w:p>
    <w:p>
      <w:pPr>
        <w:spacing w:before="200"/>
      </w:pPr>
      <w:r>
        <w:rPr>
          <w:b/>
        </w:rPr>
        <w:t>[Slide 1 — Title]</w:t>
      </w:r>
    </w:p>
    <w:p>
      <w:r>
        <w:t>Thank you, Jaimie. I am presenting this paper on behalf of Dr. Salma Abdalla, who led the analysis and could not be here today. Jaimie has just shown that the instruments hold in this population, provided they are calibrated. This paper puts them to work across the country and asks two questions: how large is the burden, and what, besides trauma itself, drives it?</w:t>
      </w:r>
    </w:p>
    <w:p>
      <w:pPr>
        <w:spacing w:before="200"/>
      </w:pPr>
      <w:r>
        <w:rPr>
          <w:b/>
        </w:rPr>
        <w:t>[Slide 2 — Disclosure]</w:t>
      </w:r>
    </w:p>
    <w:p>
      <w:r>
        <w:t>Dr. Abdalla has no financial relationships to disclose.</w:t>
      </w:r>
    </w:p>
    <w:p>
      <w:pPr>
        <w:spacing w:before="200"/>
      </w:pPr>
      <w:r>
        <w:rPr>
          <w:b/>
        </w:rPr>
        <w:t>[Slide 3 — Background divider]</w:t>
      </w:r>
      <w:r>
        <w:t xml:space="preserve"> </w:t>
      </w:r>
      <w:r>
        <w:rPr>
          <w:i/>
        </w:rPr>
        <w:t>(click through)</w:t>
      </w:r>
    </w:p>
    <w:p>
      <w:pPr>
        <w:spacing w:before="200"/>
      </w:pPr>
      <w:r>
        <w:rPr>
          <w:b/>
        </w:rPr>
        <w:t>[Slide 4 — Crisis landscape]</w:t>
      </w:r>
    </w:p>
    <w:p>
      <w:r>
        <w:t>Jaimie described the landscape, so I will be brief. Nigeria has no single conflict. It has insurgency in the northeast, banditry and mass kidnapping in the northwest, farmer–herder conflict in the Middle Belt, separatist violence in the southeast, and cult violence in the Niger Delta. All three recognised forms of organised violence are present at once: conflict involving the state, conflict between armed groups, and violence aimed directly at civilians. Together they have displaced more than three million people.</w:t>
      </w:r>
    </w:p>
    <w:p>
      <w:pPr>
        <w:spacing w:before="200"/>
      </w:pPr>
      <w:r>
        <w:rPr>
          <w:b/>
        </w:rPr>
        <w:t>[Slide 5 — hide; Slide 6 — Needs far exceed capacity]</w:t>
      </w:r>
    </w:p>
    <w:p>
      <w:r>
        <w:t>That violence falls on a population already under severe economic pressure. Income per person fell from about 3,100 dollars in 2014 to about 800 in 2024. Food inflation reached roughly 40 percent. The mental health system cannot absorb the result: about 0.6 mental health workers per 100,000 people, against a WHO benchmark of 5, and fewer than one in ten people who need care receive any.</w:t>
      </w:r>
    </w:p>
    <w:p>
      <w:pPr>
        <w:spacing w:before="200"/>
      </w:pPr>
      <w:r>
        <w:rPr>
          <w:b/>
        </w:rPr>
        <w:t>[Slide 7 — Evidence gap]</w:t>
      </w:r>
    </w:p>
    <w:p>
      <w:r>
        <w:t>Until now, the evidence has been fragmented. Most studies were hospital-based or drawn from a single camp, used instruments never validated here, and, as Jaimie showed, produced estimates that range so widely they cannot guide planning. No study had estimated prevalence across several states using population sampling. The Federal Ministry needs exactly that to implement the Mental Health Act, which is why it co-owns this study.</w:t>
      </w:r>
    </w:p>
    <w:p>
      <w:pPr>
        <w:spacing w:before="200"/>
      </w:pPr>
      <w:r>
        <w:rPr>
          <w:b/>
        </w:rPr>
        <w:t>[Slide 8 — Study aim]</w:t>
      </w:r>
    </w:p>
    <w:p>
      <w:r>
        <w:t>The paper has three aims: to estimate the prevalence of PTSD, depression, and anxiety across all six geopolitical zones; to identify the factors associated with each; and to separate two pathways that are usually tangled together, the trauma a person has lived through and the conditions displacement has placed them in.</w:t>
      </w:r>
    </w:p>
    <w:p>
      <w:pPr>
        <w:spacing w:before="200"/>
      </w:pPr>
      <w:r>
        <w:rPr>
          <w:b/>
        </w:rPr>
        <w:t>[Slide 9 — Methods divider]</w:t>
      </w:r>
      <w:r>
        <w:t xml:space="preserve"> </w:t>
      </w:r>
      <w:r>
        <w:rPr>
          <w:i/>
        </w:rPr>
        <w:t>(click through)</w:t>
      </w:r>
    </w:p>
    <w:p>
      <w:pPr>
        <w:spacing w:before="200"/>
      </w:pPr>
      <w:r>
        <w:rPr>
          <w:b/>
        </w:rPr>
        <w:t>[Slide 10 — From country to ward]</w:t>
      </w:r>
    </w:p>
    <w:p>
      <w:r>
        <w:t>We selected one state in each geopolitical zone: Sokoto, Borno, Benue, Ogun, Enugu, and Rivers. Five are affected by different forms of violence. Ogun, in the southwest, serves as the comparison state. In each state we sampled two local government areas, one urban and one rural, and within them seventy wards and their communities. Households were selected systematically from a random start, and camps for internally displaced people were sampled by the same procedure in the three states that have them.</w:t>
      </w:r>
    </w:p>
    <w:p>
      <w:pPr>
        <w:spacing w:before="200"/>
      </w:pPr>
      <w:r>
        <w:rPr>
          <w:b/>
        </w:rPr>
        <w:t>[Slide 11 — Sample at a glance]</w:t>
      </w:r>
    </w:p>
    <w:p>
      <w:r>
        <w:t>The result is 1,774 adults, interviewed face to face by trained teams working with AFENET and the Federal Ministry of Health and Social Welfare.</w:t>
      </w:r>
    </w:p>
    <w:p>
      <w:r>
        <w:rPr>
          <w:i/>
        </w:rPr>
        <w:t>(Say the fieldwork dates only after checking them against discrepancy 2.)</w:t>
      </w:r>
    </w:p>
    <w:p>
      <w:pPr>
        <w:spacing w:before="200"/>
      </w:pPr>
      <w:r>
        <w:rPr>
          <w:b/>
        </w:rPr>
        <w:t>[Slide 12 — Outcome measures]</w:t>
      </w:r>
    </w:p>
    <w:p>
      <w:r>
        <w:t>The outcomes use the thresholds from Jaimie's validation: probable PTSD at a PCL-5 score of 38 or more, and probable depression at a PHQ-9 score of 10 or more. For anxiety we used the international GAD-7 threshold of 10, and, given what Jaimie showed about its discrimination, we read the anxiety estimates with caution.</w:t>
      </w:r>
    </w:p>
    <w:p>
      <w:pPr>
        <w:spacing w:before="200"/>
      </w:pPr>
      <w:r>
        <w:rPr>
          <w:b/>
        </w:rPr>
        <w:t>[Slide 13 — Measures and analytic strategy]</w:t>
      </w:r>
    </w:p>
    <w:p>
      <w:r>
        <w:t>Trauma exposure is a count of lifetime event types from an adapted Life Events Checklist. Camp residence was verified by the field team at the time of sampling. All models are modified Poisson regressions, which give prevalence ratios directly, with variance estimates that respect the clustered design.</w:t>
      </w:r>
    </w:p>
    <w:p>
      <w:pPr>
        <w:spacing w:before="200"/>
      </w:pPr>
      <w:r>
        <w:rPr>
          <w:b/>
        </w:rPr>
        <w:t>[Slide 14 — Two models]</w:t>
      </w:r>
    </w:p>
    <w:p>
      <w:r>
        <w:t>The design choice that matters is here. We fit two models, each with one focal exposure. Model A asks about trauma: each additional event, adjusted for demographics and geography. Model B asks about camp residence and adds the trauma count to the adjustment. The camp estimate is therefore the camp's association over and above the events people report. Daily stressors and food insecurity are deliberately left out of both models. They are likely to be part of the pathway from camp life to symptoms, and adjusting for them would hide the very effect we are trying to measure.</w:t>
      </w:r>
    </w:p>
    <w:p>
      <w:pPr>
        <w:spacing w:before="200"/>
      </w:pPr>
      <w:r>
        <w:rPr>
          <w:b/>
        </w:rPr>
        <w:t>[Slide 15 — Results divider]</w:t>
      </w:r>
      <w:r>
        <w:t xml:space="preserve"> </w:t>
      </w:r>
      <w:r>
        <w:rPr>
          <w:i/>
        </w:rPr>
        <w:t>(click through)</w:t>
      </w:r>
    </w:p>
    <w:p>
      <w:pPr>
        <w:spacing w:before="200"/>
      </w:pPr>
      <w:r>
        <w:rPr>
          <w:b/>
        </w:rPr>
        <w:t>[Slide 16 — Who was in the sample]</w:t>
      </w:r>
    </w:p>
    <w:p>
      <w:r>
        <w:t>The sample reflects the six zones. Mean age was 41; 55 percent were women. Quranic education is concentrated in Borno and Sokoto, and tertiary education in Enugu and Rivers. A quarter of participants lived in camps. Two thirds were moderately or severely food insecure. On average, people reported one and a half types of traumatic event, and 18 percent reported three or more.</w:t>
      </w:r>
    </w:p>
    <w:p>
      <w:pPr>
        <w:spacing w:before="200"/>
      </w:pPr>
      <w:r>
        <w:rPr>
          <w:b/>
        </w:rPr>
        <w:t>[Slide 17 — A substantial, overlapping burden]</w:t>
      </w:r>
    </w:p>
    <w:p>
      <w:r>
        <w:t>Design-adjusted prevalence was 18.5 percent for probable PTSD, 21 percent for depression, and 20.7 percent for anxiety. Those of you who read the program will see slightly different figures there. The abstract carried preliminary estimates; these are the final estimates from the fully cleaned sample.</w:t>
      </w:r>
    </w:p>
    <w:p>
      <w:r>
        <w:t>The conditions travel together. Among people with any condition, more than a third met criteria for all three, and the correlations between conditions exceed 0.8. The design effects, close to seven, are the first sign of something we will return to: the burden clusters strongly by community.</w:t>
      </w:r>
    </w:p>
    <w:p>
      <w:pPr>
        <w:spacing w:before="200"/>
      </w:pPr>
      <w:r>
        <w:rPr>
          <w:b/>
        </w:rPr>
        <w:t>[Slide 18 — Nearly one in three]</w:t>
      </w:r>
    </w:p>
    <w:p>
      <w:r>
        <w:t>Put simply, nearly one adult in three, 30.4 percent, met criteria for at least one condition.</w:t>
      </w:r>
    </w:p>
    <w:p>
      <w:pPr>
        <w:spacing w:before="200"/>
      </w:pPr>
      <w:r>
        <w:rPr>
          <w:b/>
        </w:rPr>
        <w:t>[Slide 19 — Camps and trauma mark the highest burden]</w:t>
      </w:r>
    </w:p>
    <w:p>
      <w:r>
        <w:t>Before adjustment, the variation is striking. PTSD prevalence ranges from 1.5 percent in Ogun to 42 percent in Benue, a 28-fold difference. Camp residents have about four times the prevalence of people living in communities: 40 percent against 11. And trauma shows a clear gradient: 8 percent among people with no traumatic events, 45 percent among those with five or more. The question is which of these survives adjustment.</w:t>
      </w:r>
    </w:p>
    <w:p>
      <w:pPr>
        <w:spacing w:before="200"/>
      </w:pPr>
      <w:r>
        <w:rPr>
          <w:b/>
        </w:rPr>
        <w:t>[Slide 20 — Both exposures survive adjustment]</w:t>
      </w:r>
    </w:p>
    <w:p>
      <w:r>
        <w:t>Both do. In Model A, each additional traumatic event is associated with about 15 percent higher prevalence of each condition. In Model B, living in a camp is associated with roughly twice the prevalence of PTSD and depression and nearly three times the prevalence of anxiety, after accounting for trauma. The trauma estimates hardly move when camp residence enters the model. We are looking at two separable pathways: what happened to people, and where they now live. Camp residence also explains much of the difference between Benue and Borno.</w:t>
      </w:r>
    </w:p>
    <w:p>
      <w:pPr>
        <w:spacing w:before="200"/>
      </w:pPr>
      <w:r>
        <w:rPr>
          <w:b/>
        </w:rPr>
        <w:t>[Slide 21 — Clustering, and the bridge]</w:t>
      </w:r>
    </w:p>
    <w:p>
      <w:r>
        <w:t>Two further results. First, the intraclass correlations are unusually high: 0.86 for PTSD before adjustment, and still between 0.49 and 0.62 after full adjustment. Second, the association between trauma and outcomes is not the same everywhere. It is steepest in Enugu and Rivers, where exposure is lowest, and nearly flat in Borno, where exposure is highest. Keep that second result in mind; my own paper begins there. The findings hold under post-stratification weights, the international PCL-5 threshold of 33, local government fixed effects, continuous scores, and multilevel models.</w:t>
      </w:r>
    </w:p>
    <w:p>
      <w:pPr>
        <w:spacing w:before="200"/>
      </w:pPr>
      <w:r>
        <w:rPr>
          <w:b/>
        </w:rPr>
        <w:t>[Slide 22 — Half the variation is between communities]</w:t>
      </w:r>
    </w:p>
    <w:p>
      <w:r>
        <w:t>This is what the clustering means in practice. After everything we can measure, about half of the remaining variation lies between communities, not between neighbours. The burden belongs to places as much as to people.</w:t>
      </w:r>
    </w:p>
    <w:p>
      <w:pPr>
        <w:spacing w:before="200"/>
      </w:pPr>
      <w:r>
        <w:rPr>
          <w:b/>
        </w:rPr>
        <w:t>[Slide 23 — Discussion divider]</w:t>
      </w:r>
      <w:r>
        <w:t xml:space="preserve"> </w:t>
      </w:r>
      <w:r>
        <w:rPr>
          <w:i/>
        </w:rPr>
        <w:t>(click through)</w:t>
      </w:r>
    </w:p>
    <w:p>
      <w:pPr>
        <w:spacing w:before="200"/>
      </w:pPr>
      <w:r>
        <w:rPr>
          <w:b/>
        </w:rPr>
        <w:t>[Slide 24 — What this means]</w:t>
      </w:r>
    </w:p>
    <w:p>
      <w:r>
        <w:t>Three implications. First, the post-displacement environment is an intervention target in its own right. Treating individual trauma leaves the camp pathway untouched; shelter, safety, livelihoods, and services are mental health interventions here. Second, the clustering argues for delivering services by community, not only by screening individuals. Third, these are the estimates the Ministry needs to implement the Mental Health Act.</w:t>
      </w:r>
    </w:p>
    <w:p>
      <w:r>
        <w:t>The limitations are the ones you would expect: the design is cross-sectional; the states were chosen purposively, so these are not national estimates; camps exist in only three states; and people may enter camps partly because they were more affected, although adjusting for trauma addresses the most obvious form of that selection.</w:t>
      </w:r>
    </w:p>
    <w:p>
      <w:pPr>
        <w:spacing w:before="200"/>
      </w:pPr>
      <w:r>
        <w:rPr>
          <w:b/>
        </w:rPr>
        <w:t>[Slide 25 — Conclusion divider]</w:t>
      </w:r>
      <w:r>
        <w:t xml:space="preserve"> </w:t>
      </w:r>
      <w:r>
        <w:rPr>
          <w:i/>
        </w:rPr>
        <w:t>(click through)</w:t>
      </w:r>
    </w:p>
    <w:p>
      <w:pPr>
        <w:spacing w:before="200"/>
      </w:pPr>
      <w:r>
        <w:rPr>
          <w:b/>
        </w:rPr>
        <w:t>[Slide 26 — Conclusion]</w:t>
      </w:r>
    </w:p>
    <w:p>
      <w:r>
        <w:t>To summarise Dr. Abdalla's findings: nearly one in three adults across six states met criteria for PTSD, depression, or anxiety; camp residents carry about four times the PTSD burden of community residents; and much of the variation lies between communities. Services have to reach camps and communities, not only individuals with trauma histories.</w:t>
      </w:r>
    </w:p>
    <w:p>
      <w:r>
        <w:rPr>
          <w:i/>
        </w:rPr>
        <w:t>[Handover, no pause]</w:t>
      </w:r>
      <w:r>
        <w:t xml:space="preserve"> That is Dr. Abdalla's paper. I want to stay with one of her results, the flat trauma gradient in Borno, because that is where my own paper begins.</w:t>
      </w:r>
    </w:p>
    <w:p>
      <w:pPr>
        <w:pStyle w:val="Heading1"/>
      </w:pPr>
      <w:r>
        <w:t>Part 4. Script — Talk 3, Trauma Saturation</w:t>
      </w:r>
    </w:p>
    <w:p>
      <w:r>
        <w:rPr>
          <w:i/>
        </w:rPr>
        <w:t>About 1,700 words, 13 minutes. Slide numbers refer to istss_mohammed_full_2. Hide slides 4, 5, and 6: you have just presented the burden, the economy, and the workforce figures.</w:t>
      </w:r>
    </w:p>
    <w:p>
      <w:pPr>
        <w:spacing w:before="200"/>
      </w:pPr>
      <w:r>
        <w:rPr>
          <w:b/>
        </w:rPr>
        <w:t>[Slide 1 — Title]</w:t>
      </w:r>
    </w:p>
    <w:p>
      <w:r>
        <w:t>My paper uses the same survey and asks a different question. Dr. Abdalla showed that trauma and camp residence each raise the burden. I want to ask whether trauma changes what everyday stress does to people.</w:t>
      </w:r>
    </w:p>
    <w:p>
      <w:pPr>
        <w:spacing w:before="200"/>
      </w:pPr>
      <w:r>
        <w:rPr>
          <w:b/>
        </w:rPr>
        <w:t>[Slide 2 — Disclosure]</w:t>
      </w:r>
    </w:p>
    <w:p>
      <w:r>
        <w:t>I have no financial relationships to disclose.</w:t>
      </w:r>
    </w:p>
    <w:p>
      <w:pPr>
        <w:spacing w:before="200"/>
      </w:pPr>
      <w:r>
        <w:rPr>
          <w:b/>
        </w:rPr>
        <w:t>[Slide 3 — Background divider]</w:t>
      </w:r>
      <w:r>
        <w:t xml:space="preserve"> </w:t>
      </w:r>
      <w:r>
        <w:rPr>
          <w:i/>
        </w:rPr>
        <w:t>(click through; slides 4–6 hidden)</w:t>
      </w:r>
    </w:p>
    <w:p>
      <w:pPr>
        <w:spacing w:before="200"/>
      </w:pPr>
      <w:r>
        <w:rPr>
          <w:b/>
        </w:rPr>
        <w:t>[Slide 7 — Building-block model]</w:t>
      </w:r>
    </w:p>
    <w:p>
      <w:r>
        <w:t>People in this population carry two kinds of load. One is the traumatic events: assault, armed attack, disaster. The other is the daily grind: losing a job, struggling to pay rent, family breakdown, isolation. The literature offers three accounts of how the two combine, and they lead to different programs.</w:t>
      </w:r>
    </w:p>
    <w:p>
      <w:r>
        <w:t>The first is the building-block model of Miller and Rasmussen. Trauma and daily stressors each add risk independently. Trauma raises the whole line; each stressor adds the same amount whoever you are. The implication is that stress reduction helps everyone equally, and that is the assumption behind most humanitarian programming.</w:t>
      </w:r>
    </w:p>
    <w:p>
      <w:pPr>
        <w:spacing w:before="200"/>
      </w:pPr>
      <w:r>
        <w:rPr>
          <w:b/>
        </w:rPr>
        <w:t>[Slide 8 — Sensitization]</w:t>
      </w:r>
    </w:p>
    <w:p>
      <w:r>
        <w:t>The second is stress sensitization, from Hammen and from McLaughlin's work on childhood adversity. Trauma lowers the threshold at which stress produces symptoms, so each added stressor does more harm among people with more trauma. If that is right, stress reduction does the most good for the most exposed.</w:t>
      </w:r>
    </w:p>
    <w:p>
      <w:pPr>
        <w:spacing w:before="200"/>
      </w:pPr>
      <w:r>
        <w:rPr>
          <w:b/>
        </w:rPr>
        <w:t>[Slide 9 — Saturation]</w:t>
      </w:r>
    </w:p>
    <w:p>
      <w:r>
        <w:t>The third is less developed. Studies of Syrian and Burundian refugees found that stress sensitivity diminished among the most exposed. Their symptoms were high and stopped tracking current stress. Nobody had formally tested the shape of this interaction, across several outcomes, in an African conflict setting, in a population where exposure runs this high.</w:t>
      </w:r>
    </w:p>
    <w:p>
      <w:pPr>
        <w:spacing w:before="200"/>
      </w:pPr>
      <w:r>
        <w:rPr>
          <w:b/>
        </w:rPr>
        <w:t>[Slide 10 — Aim and hypotheses]</w:t>
      </w:r>
    </w:p>
    <w:p>
      <w:r>
        <w:t>We tested whether trauma exposure modifies the association between socioeconomic stressors and PTSD, depression, and anxiety. We had two hypotheses. First, that the trauma-by-stressor interaction is real, meaning the two exposures do not simply add. Second, that the interaction is negative: stress sensitivity diminishes with extensive trauma, which is saturation, not sensitization.</w:t>
      </w:r>
    </w:p>
    <w:p>
      <w:pPr>
        <w:spacing w:before="200"/>
      </w:pPr>
      <w:r>
        <w:rPr>
          <w:b/>
        </w:rPr>
        <w:t>[Slide 11 — Methods divider]</w:t>
      </w:r>
      <w:r>
        <w:t xml:space="preserve"> </w:t>
      </w:r>
      <w:r>
        <w:rPr>
          <w:i/>
        </w:rPr>
        <w:t>(click through)</w:t>
      </w:r>
    </w:p>
    <w:p>
      <w:pPr>
        <w:spacing w:before="200"/>
      </w:pPr>
      <w:r>
        <w:rPr>
          <w:b/>
        </w:rPr>
        <w:t>[Slide 12 — Sample]</w:t>
      </w:r>
    </w:p>
    <w:p>
      <w:r>
        <w:t>This is the sample you have just seen. Of the 1,774 adults, 1,729 completed the trauma inventory. The 37 who declined it are treated as missing, not as unexposed; we checked every count against the item-level answers. Ogun matters here: it gives us people with little or no trauma exposure, which is where the stress gradient turns out to live. Adjusted models include 1,706 people.</w:t>
      </w:r>
    </w:p>
    <w:p>
      <w:pPr>
        <w:spacing w:before="200"/>
      </w:pPr>
      <w:r>
        <w:rPr>
          <w:b/>
        </w:rPr>
        <w:t>[Slide 13 — Measures]</w:t>
      </w:r>
    </w:p>
    <w:p>
      <w:r>
        <w:t>The outcomes are the same: PCL-5 at 38, PHQ-9 at 10, and GAD-7 at 10, read cautiously. Trauma is the count of twelve event types from the adapted Life Events Checklist. Daily stressors are a ten-item count developed for Nigeria, covering job loss, rent, eviction, family disruption, and isolation. All models adjust for age, gender, education, and state.</w:t>
      </w:r>
    </w:p>
    <w:p>
      <w:pPr>
        <w:spacing w:before="200"/>
      </w:pPr>
      <w:r>
        <w:rPr>
          <w:b/>
        </w:rPr>
        <w:t>[Slide 14 — Analysis: data-driven curve]</w:t>
      </w:r>
    </w:p>
    <w:p>
      <w:r>
        <w:t>Two analytic choices carry the argument. The first concerns how we enter trauma. In the dissertation version we grouped people into bins: none, one to two, three to four, five or more. A sceptic can reasonably say the bins produced the pattern. So here trauma enters as a continuous count through a restricted cubic spline, a set of smooth curve segments joined at chosen points, called knots, at zero, two, and five events. The spline lets the data choose the shape. It could have shown sensitization, a steepening; additivity, no change; or saturation, a flattening. We did not decide in advance which.</w:t>
      </w:r>
    </w:p>
    <w:p>
      <w:pPr>
        <w:spacing w:before="200"/>
      </w:pPr>
      <w:r>
        <w:rPr>
          <w:b/>
        </w:rPr>
        <w:t>[Slide 15 — Analysis: two scales]</w:t>
      </w:r>
    </w:p>
    <w:p>
      <w:r>
        <w:t>The second choice is to read the interaction on two scales. A ratio can shrink for purely arithmetic reasons when baseline risk is high, so we also report absolute differences in percentage points, which do not have that property. Claims about who should receive which intervention rest on absolute risk. We prespecified sensitivity analyses at other cut-points, on continuous symptom scores, and with the categorical version of trauma.</w:t>
      </w:r>
    </w:p>
    <w:p>
      <w:pPr>
        <w:spacing w:before="200"/>
      </w:pPr>
      <w:r>
        <w:rPr>
          <w:b/>
        </w:rPr>
        <w:t>[Slide 16 — Results divider]</w:t>
      </w:r>
      <w:r>
        <w:t xml:space="preserve"> </w:t>
      </w:r>
      <w:r>
        <w:rPr>
          <w:i/>
        </w:rPr>
        <w:t>(click through)</w:t>
      </w:r>
    </w:p>
    <w:p>
      <w:pPr>
        <w:spacing w:before="200"/>
      </w:pPr>
      <w:r>
        <w:rPr>
          <w:b/>
        </w:rPr>
        <w:t>[Slide 17 — Exposures]</w:t>
      </w:r>
    </w:p>
    <w:p>
      <w:r>
        <w:t>Just over a quarter of people reported no traumatic event, about half reported one or two, 13 percent three or four, and 5.5 percent five or more. The average person reported about two current stressors. The two exposures are correlated: people with more trauma also carry more stressors, which is why the interaction has to be tested formally, with adjustment.</w:t>
      </w:r>
    </w:p>
    <w:p>
      <w:pPr>
        <w:spacing w:before="200"/>
      </w:pPr>
      <w:r>
        <w:rPr>
          <w:b/>
        </w:rPr>
        <w:t>[Slide 18 — Prevalence rises sixfold with trauma]</w:t>
      </w:r>
    </w:p>
    <w:p>
      <w:r>
        <w:t>First, the main effect, so the interaction has context. At zero stressors, adjusted PTSD prevalence rises from about 7 percent among people with no trauma to about 40 percent at five events. This is the adjusted version of the gradient Dr. Abdalla showed. Trauma dominates the risk landscape. That part is expected. The question is what happens to the stress gradient along the way.</w:t>
      </w:r>
    </w:p>
    <w:p>
      <w:pPr>
        <w:spacing w:before="200"/>
      </w:pPr>
      <w:r>
        <w:rPr>
          <w:b/>
        </w:rPr>
        <w:t>[Slide 19 — Per-stressor risk falls as trauma rises]</w:t>
      </w:r>
    </w:p>
    <w:p>
      <w:r>
        <w:t>This is the central result. Each marker is the prevalence ratio for one additional daily stressor, with its confidence interval; the dashed line at 1 means no added risk.</w:t>
      </w:r>
    </w:p>
    <w:p>
      <w:r>
        <w:t>Start on the left. Among adults with no traumatic events, each added stressor nearly doubles the prevalence of probable PTSD, a ratio of 1.97. Depression, at 1.83, and anxiety, at 1.71, move with it. Now read to the right. At one to two events the ratios fall to between 1.15 and 1.27. At three to four events the intervals sit on the line, and at five or more events all three outcomes are at the null.</w:t>
      </w:r>
    </w:p>
    <w:p>
      <w:r>
        <w:t>The interaction is below 0.0001 for all three outcomes. The stressor gradient is steepest where trauma is lowest. That is the opposite of what sensitization predicts. The spline models, which were free to draw a rising curve, reach the same conclusion: p of 0.003 for PTSD, 0.0001 for depression, and 0.003 for anxiety.</w:t>
      </w:r>
    </w:p>
    <w:p>
      <w:pPr>
        <w:spacing w:before="200"/>
      </w:pPr>
      <w:r>
        <w:rPr>
          <w:b/>
        </w:rPr>
        <w:t>[Slide 20 — Holds on the absolute scale]</w:t>
      </w:r>
    </w:p>
    <w:p>
      <w:r>
        <w:t>A sceptic would say the ratio fades only because people with heavy trauma already have high prevalence. So here is the same comparison in percentage points. Going from zero to four stressors adds about 22 points of PTSD prevalence among people with no trauma exposure, 24 points of depression, and 18 points of anxiety. Among people with five or more events, the same four stressors add nothing measurable to any of the three. The fading appears in percentage points too, so it is not an artifact of the ratio scale.</w:t>
      </w:r>
    </w:p>
    <w:p>
      <w:pPr>
        <w:spacing w:before="200"/>
      </w:pPr>
      <w:r>
        <w:rPr>
          <w:b/>
        </w:rPr>
        <w:t>[Slide 21 — The stressor gradient flattens]</w:t>
      </w:r>
    </w:p>
    <w:p>
      <w:r>
        <w:t>Here is the same result as a picture. Each line is a level of trauma. The red line, no trauma exposure, rises from about 7 percent to 28 percent across four stressors and keeps climbing. Each step up in trauma rotates the line flatter. At five or more events the line is high, around 40 percent, and it does not rise with stress. The gradient belongs to people with little trauma; the burden belongs to people with a lot. Depression and anxiety fan out the same way.</w:t>
      </w:r>
    </w:p>
    <w:p>
      <w:pPr>
        <w:spacing w:before="200"/>
      </w:pPr>
      <w:r>
        <w:rPr>
          <w:b/>
        </w:rPr>
        <w:t>[Slide 22 — Robustness]</w:t>
      </w:r>
    </w:p>
    <w:p>
      <w:r>
        <w:t>We tried every route to an artifact we could think of. The pattern holds at alternative cut-points: PCL-5 at 33, PHQ-9 at 15, and GAD-7 at 7. It holds in continuous symptom scores, where there is no cut-point at all. The high-trauma group is not at a ceiling; its prevalence is around 40 percent, not near 100, and its confidence interval is narrow. That group also has the widest spread of stressors in the sample, so its null is estimated over real variation, not a compressed range.</w:t>
      </w:r>
    </w:p>
    <w:p>
      <w:pPr>
        <w:spacing w:before="200"/>
      </w:pPr>
      <w:r>
        <w:rPr>
          <w:b/>
        </w:rPr>
        <w:t>[Slide 23 — Discussion divider]</w:t>
      </w:r>
      <w:r>
        <w:t xml:space="preserve"> </w:t>
      </w:r>
      <w:r>
        <w:rPr>
          <w:i/>
        </w:rPr>
        <w:t>(click through)</w:t>
      </w:r>
    </w:p>
    <w:p>
      <w:pPr>
        <w:spacing w:before="200"/>
      </w:pPr>
      <w:r>
        <w:rPr>
          <w:b/>
        </w:rPr>
        <w:t>[Slide 24 — Both hypotheses supported]</w:t>
      </w:r>
    </w:p>
    <w:p>
      <w:r>
        <w:t>To return to the aim: trauma does modify how daily stressors relate to all three outcomes. The interaction is significant for PTSD, depression, and anxiety, so the exposures do not simply add. And the direction is negative. With no trauma, each stressor nearly doubles PTSD prevalence; with five or more events, it adds nothing. That is saturation, not sensitization.</w:t>
      </w:r>
    </w:p>
    <w:p>
      <w:pPr>
        <w:spacing w:before="200"/>
      </w:pPr>
      <w:r>
        <w:rPr>
          <w:b/>
        </w:rPr>
        <w:t>[Slide 25 — Stress sensitivity fades as trauma accumulates]</w:t>
      </w:r>
    </w:p>
    <w:p>
      <w:r>
        <w:t>The change is graded, not a switch. Sensitivity is retained at one or two events, flattens at three or four, and is gone by five. One reading is that both older theories hold, at different levels of exposure.</w:t>
      </w:r>
    </w:p>
    <w:p>
      <w:pPr>
        <w:spacing w:before="200"/>
      </w:pPr>
      <w:r>
        <w:rPr>
          <w:b/>
        </w:rPr>
        <w:t>[Slide 26 — Candidate mechanisms]</w:t>
      </w:r>
    </w:p>
    <w:p>
      <w:r>
        <w:t>Several mechanisms could produce this: allostatic exhaustion, in McEwen's sense; blunted cortisol and amygdala responses after chronic trauma, which Yehuda has documented; emotional numbing; and altered assumptions about the world, so that one more hardship no longer registers as a departure from expected danger. I want to be careful here. These data are cross-sectional. They describe a pattern across people; they do not demonstrate a mechanism within a person.</w:t>
      </w:r>
    </w:p>
    <w:p>
      <w:pPr>
        <w:spacing w:before="200"/>
      </w:pPr>
      <w:r>
        <w:rPr>
          <w:b/>
        </w:rPr>
        <w:t>[Slide 27 — Implications for programming]</w:t>
      </w:r>
    </w:p>
    <w:p>
      <w:r>
        <w:t>The practical implication is stratification. About four in five adults in this sample have fewer than three types of trauma and retain stress sensitivity. For them, stress management, livelihood support, Problem Management Plus, and community psychosocial support address something their symptoms respond to. The minority with extensive exposure carries high prevalence whatever their current stress. For them the treatments with evidence are trauma-focused: Narrative Exposure Therapy and culturally adapted Cognitive Processing Therapy. A brief trauma-history screen at program entry could route scarce specialist capacity to the people for whom stress reduction cannot substitute.</w:t>
      </w:r>
    </w:p>
    <w:p>
      <w:pPr>
        <w:spacing w:before="200"/>
      </w:pPr>
      <w:r>
        <w:rPr>
          <w:b/>
        </w:rPr>
        <w:t>[Slide 28 — Limitations]</w:t>
      </w:r>
    </w:p>
    <w:p>
      <w:r>
        <w:t>The limitations: the design is cross-sectional, so selection and reverse causation cannot be excluded; trauma is lifetime recall while stressors are current; data above six events are sparse, so we report predictions only to five; and these are screens, not diagnoses, although they are locally validated and the pattern holds in continuous scores.</w:t>
      </w:r>
    </w:p>
    <w:p>
      <w:pPr>
        <w:spacing w:before="200"/>
      </w:pPr>
      <w:r>
        <w:rPr>
          <w:b/>
        </w:rPr>
        <w:t>[Slide 29 — Conclusion divider]</w:t>
      </w:r>
      <w:r>
        <w:t xml:space="preserve"> </w:t>
      </w:r>
      <w:r>
        <w:rPr>
          <w:i/>
        </w:rPr>
        <w:t>(click through)</w:t>
      </w:r>
    </w:p>
    <w:p>
      <w:pPr>
        <w:spacing w:before="200"/>
      </w:pPr>
      <w:r>
        <w:rPr>
          <w:b/>
        </w:rPr>
        <w:t>[Slide 30 — Conclusions]</w:t>
      </w:r>
    </w:p>
    <w:p>
      <w:r>
        <w:t>Trauma changes what everyday stress does. The risk from each additional stressor falls from nearly double among people with no trauma to nothing among people with five or more events, for all three outcomes, on both scales, and in every sensitivity analysis. Universal programs built on simple dose-response assumptions do not fit these data. We should match the intervention to trauma history, and the next step is a longitudinal study that tests when saturation develops and whether it reverses with treatment.</w:t>
      </w:r>
    </w:p>
    <w:p>
      <w:r>
        <w:rPr>
          <w:i/>
        </w:rPr>
        <w:t>[Handover]</w:t>
      </w:r>
      <w:r>
        <w:t xml:space="preserve"> If need comes in two tiers, the service system has to be built in two tiers. That is a policy question, and Dr. Ojo is the person in Nigeria who has to answer it. Thank you.</w:t>
      </w:r>
    </w:p>
    <w:p>
      <w:pPr>
        <w:pStyle w:val="Heading1"/>
      </w:pPr>
      <w:r>
        <w:t>Part 5. Pocket Answers for Questions</w:t>
      </w:r>
    </w:p>
    <w:p>
      <w:r>
        <w:rPr>
          <w:b/>
        </w:rPr>
        <w:t>"Isn't the fading ratio just high baseline risk?"</w:t>
      </w:r>
      <w:r>
        <w:t xml:space="preserve"> — "That is why we report percentage points. Four stressors add 22 points among the unexposed and nothing measurable among the heavily exposed. A ratio can fade arithmetically; a risk difference cannot."</w:t>
      </w:r>
    </w:p>
    <w:p>
      <w:r>
        <w:rPr>
          <w:b/>
        </w:rPr>
        <w:t>"Did the bins create the shape?"</w:t>
      </w:r>
      <w:r>
        <w:t xml:space="preserve"> — "That is why the primary model uses a spline. It was free to rise, stay flat, or fall. It fell, and it crosses the null at about four events."</w:t>
      </w:r>
    </w:p>
    <w:p>
      <w:r>
        <w:rPr>
          <w:b/>
        </w:rPr>
        <w:t>"Is the five-plus group too small or too uniform?"</w:t>
      </w:r>
      <w:r>
        <w:t xml:space="preserve"> — "It has 95 people and the widest stressor range in the sample, from zero to ten. The null is estimated over real variation."</w:t>
      </w:r>
    </w:p>
    <w:p>
      <w:r>
        <w:rPr>
          <w:b/>
        </w:rPr>
        <w:t>"Is this just a cut-off effect?"</w:t>
      </w:r>
      <w:r>
        <w:t xml:space="preserve"> — "It holds in the continuous PCL-5, PHQ-9, and GAD-7 scores, where no cut-off exists."</w:t>
      </w:r>
    </w:p>
    <w:p>
      <w:r>
        <w:rPr>
          <w:b/>
        </w:rPr>
        <w:t>"Your numbers differ from the abstract."</w:t>
      </w:r>
      <w:r>
        <w:t xml:space="preserve"> — "The abstract carried preliminary estimates. These are the final estimates from the fully cleaned sample; the direction and significance of every finding are unchanged."</w:t>
      </w:r>
    </w:p>
    <w:p>
      <w:r>
        <w:rPr>
          <w:b/>
        </w:rPr>
        <w:t>"Why is the categorical estimate at zero trauma (1.97) higher than the spline curve (about 1.44)?"</w:t>
      </w:r>
      <w:r>
        <w:t xml:space="preserve"> — "The categorical estimates are unadjusted; the spline is adjusted for age, gender, education, and state. Adjustment absorbs part of the effect at zero trauma. The shape is the same."</w:t>
      </w:r>
    </w:p>
    <w:p>
      <w:r>
        <w:rPr>
          <w:b/>
        </w:rPr>
        <w:t>"Is the GAD-7 valid here?"</w:t>
      </w:r>
      <w:r>
        <w:t xml:space="preserve"> — "Jaimie's paper shows its discrimination is limited, so we read the anxiety results cautiously. The saturation pattern does not depend on anxiety; it is clearest for PTSD, which uses the best-validated instrument."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