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C9F60" w14:textId="156D15E9" w:rsidR="00415EEE" w:rsidRPr="00415EEE" w:rsidRDefault="00415EEE" w:rsidP="00415E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EEE">
        <w:rPr>
          <w:rFonts w:ascii="Times New Roman" w:hAnsi="Times New Roman" w:cs="Times New Roman"/>
          <w:b/>
          <w:bCs/>
          <w:sz w:val="28"/>
          <w:szCs w:val="28"/>
        </w:rPr>
        <w:t>Понятие «отрасль», отраслевая структура экономики</w:t>
      </w:r>
    </w:p>
    <w:p w14:paraId="60B9EC96" w14:textId="14EE41F8" w:rsidR="00415EEE" w:rsidRP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7B4807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Экономика любой страны представляет собой деятельность огромного количества хозяйствующих субъектов, создающих разнообразные товары и услуги. Все эти субъекты по определенным признакам объединены в отрасли. </w:t>
      </w:r>
    </w:p>
    <w:p w14:paraId="0E8FE825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Отрасль</w:t>
      </w:r>
      <w:r w:rsidRPr="00415EEE">
        <w:rPr>
          <w:rFonts w:ascii="Times New Roman" w:hAnsi="Times New Roman" w:cs="Times New Roman"/>
          <w:sz w:val="24"/>
          <w:szCs w:val="24"/>
        </w:rPr>
        <w:t xml:space="preserve"> представляет собой совокупность производств, обладающих следующими признаками:  </w:t>
      </w:r>
    </w:p>
    <w:p w14:paraId="6DB3BB3C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экономическим назначением выпускаемой продукции; </w:t>
      </w:r>
    </w:p>
    <w:p w14:paraId="0D4CD1CA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общность сырья и материалов, технологических процессов, составом оборудования; </w:t>
      </w:r>
    </w:p>
    <w:p w14:paraId="12C4FE27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особым профессиональным составом кадров и спецификой условий труда. </w:t>
      </w:r>
    </w:p>
    <w:p w14:paraId="57B6332C" w14:textId="2A56E4C1" w:rsidR="00415EEE" w:rsidRP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>Цель отрасли – разработка стратегии по удовлетворению общества определенным продуктом или услугой, социальная защита работающих. Отрасль представляет часть экономики, область производственно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15EEE">
        <w:rPr>
          <w:rFonts w:ascii="Times New Roman" w:hAnsi="Times New Roman" w:cs="Times New Roman"/>
          <w:sz w:val="24"/>
          <w:szCs w:val="24"/>
        </w:rPr>
        <w:t xml:space="preserve">экономической деятельности, в которую входят объекты, обладающие единством выполняемых функций, видов и назначения выпускаемой продукции, применяемых технологических процессов. Наличие трех разных признаков (целевая функция, вид продукции, технология) не позволяет выделять отрасли и входящие в них предприятия однозначным образом, поэтому состав объектов и видов деятельности, включаемых в определенную отрасль, достаточно условен и может изменяться. </w:t>
      </w:r>
    </w:p>
    <w:p w14:paraId="2804728C" w14:textId="4DAB1F8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>В отраслевой структуре экономики принято выделять две группы отраслей: отрасли материального производства и отрасли социально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15EEE">
        <w:rPr>
          <w:rFonts w:ascii="Times New Roman" w:hAnsi="Times New Roman" w:cs="Times New Roman"/>
          <w:sz w:val="24"/>
          <w:szCs w:val="24"/>
        </w:rPr>
        <w:t xml:space="preserve">культурной сферы. </w:t>
      </w:r>
    </w:p>
    <w:p w14:paraId="21DE8A56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Как сфера материального производства, так и социально-культурна сфера (нематериальная </w:t>
      </w:r>
      <w:r w:rsidRPr="00415EEE">
        <w:rPr>
          <w:rFonts w:ascii="Times New Roman" w:hAnsi="Times New Roman" w:cs="Times New Roman"/>
          <w:sz w:val="24"/>
          <w:szCs w:val="24"/>
        </w:rPr>
        <w:t>производства)</w:t>
      </w:r>
      <w:r w:rsidRPr="00415EEE">
        <w:rPr>
          <w:rFonts w:ascii="Times New Roman" w:hAnsi="Times New Roman" w:cs="Times New Roman"/>
          <w:sz w:val="24"/>
          <w:szCs w:val="24"/>
        </w:rPr>
        <w:t xml:space="preserve"> расчленяются на ряд отраслей. </w:t>
      </w:r>
    </w:p>
    <w:p w14:paraId="19C45779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Ведущей отраслью материального производства является промышленность. В развитых индустриальных странах на ее долю приходится до 50% производимой продукции, тогда как сельское хозяйство в таких странах составляет от 10-15% общего объема материального производства. </w:t>
      </w:r>
    </w:p>
    <w:p w14:paraId="25ECAEF9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Производственная сфера включает: </w:t>
      </w:r>
    </w:p>
    <w:p w14:paraId="50311C79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>- отрасли, создающие материальные блага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5EEE">
        <w:rPr>
          <w:rFonts w:ascii="Times New Roman" w:hAnsi="Times New Roman" w:cs="Times New Roman"/>
          <w:sz w:val="24"/>
          <w:szCs w:val="24"/>
        </w:rPr>
        <w:t xml:space="preserve"> промышленность, сельское хозяйство, строительство; </w:t>
      </w:r>
    </w:p>
    <w:p w14:paraId="15F2D566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>- отрасли, доставляющие материальные блага потребителю - транспорт и связь;</w:t>
      </w:r>
    </w:p>
    <w:p w14:paraId="19E5E8D7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 - отрасли, связанные с процессом производства в сфере обращения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15EEE">
        <w:rPr>
          <w:rFonts w:ascii="Times New Roman" w:hAnsi="Times New Roman" w:cs="Times New Roman"/>
          <w:sz w:val="24"/>
          <w:szCs w:val="24"/>
        </w:rPr>
        <w:t xml:space="preserve"> торговля, общественное питание, материально-техническое снабжение, сбыт, заготовки.</w:t>
      </w:r>
    </w:p>
    <w:p w14:paraId="4F49EAFD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 Непроизводственная сфера состоит из следующих отраслей: </w:t>
      </w:r>
    </w:p>
    <w:p w14:paraId="71200859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lastRenderedPageBreak/>
        <w:t xml:space="preserve">- отрасли услуг, к ним относят: жилищно-коммунальное хозяйство, бытовое обслуживание, транспорт и связь, связанные с обслуживанием населения; </w:t>
      </w:r>
    </w:p>
    <w:p w14:paraId="48C4CAB6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отрасли социального обслуживания: образование, здравоохранение, культура, искусство, наука и научное обслуживания; </w:t>
      </w:r>
    </w:p>
    <w:p w14:paraId="0F4E2251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отрасли, включающей кредитование, финансы и страхование; </w:t>
      </w:r>
    </w:p>
    <w:p w14:paraId="358B52A8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аппарата органов управления; - обороны. </w:t>
      </w:r>
    </w:p>
    <w:p w14:paraId="3239FC64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Отрасли выделяются в результате разделения труда и по признакам и назначению продукта и расчленяются на комплексные отрасли.  Комплексными называются такие отрасли, в состав которых входят несколько однородных, но специализированных внутри этих отраслей по производственно-технологической общности и по более узкому назначению продукта. К комплексным отраслям относятся машиностроительная, металлургическая, химическая, транспортная и другие отрасли. </w:t>
      </w:r>
    </w:p>
    <w:p w14:paraId="55620181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На низшей ступени отрасли обособляются сравнительно небольшие мощности подразделения – предприятия. </w:t>
      </w:r>
    </w:p>
    <w:p w14:paraId="60C3C568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На второй ступени формируются более крупные подразделения в виде создания корпораций, альянсов, холдингов. </w:t>
      </w:r>
    </w:p>
    <w:p w14:paraId="2ACBDD6B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Третья ступень – министерства, агентства в состав которых входят научно-исследовательские институты, конструкторские бюро. На третьем уровне осуществляется руководство в области стратегии развития отрасли, проводит единую научно-техническую пометку развития отрасли. </w:t>
      </w:r>
    </w:p>
    <w:p w14:paraId="398EE347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В зависимости от специфики отрасли выделяются по назначению продукта: </w:t>
      </w:r>
    </w:p>
    <w:p w14:paraId="7AAC8066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сырьевые (добыча полезных ископаемых); </w:t>
      </w:r>
    </w:p>
    <w:p w14:paraId="392AA38C" w14:textId="39B1F263" w:rsidR="00415EEE" w:rsidRP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однородность технологических процессов (машиностроение); </w:t>
      </w:r>
    </w:p>
    <w:p w14:paraId="59E2D8C5" w14:textId="46C6D159" w:rsidR="00415EEE" w:rsidRP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однородность услуг (автомобильные перевозки, бытовое обслуживание). </w:t>
      </w:r>
    </w:p>
    <w:p w14:paraId="2273D7C2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Каждая отдельная отрасль имеет внутриотраслевую конкуренцию и работает на условиях самофинансирования. Развитие отрасли является объектом государственного регулирования. Основу составляет государственный заказ. </w:t>
      </w:r>
    </w:p>
    <w:p w14:paraId="590BC1D1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>Имеются отраслевые особенности калькулирования себестоимости. Различны закономернос</w:t>
      </w:r>
      <w:r>
        <w:rPr>
          <w:rFonts w:ascii="Times New Roman" w:hAnsi="Times New Roman" w:cs="Times New Roman"/>
          <w:sz w:val="24"/>
          <w:szCs w:val="24"/>
        </w:rPr>
        <w:t>ти</w:t>
      </w:r>
      <w:r w:rsidRPr="00415EEE">
        <w:rPr>
          <w:rFonts w:ascii="Times New Roman" w:hAnsi="Times New Roman" w:cs="Times New Roman"/>
          <w:sz w:val="24"/>
          <w:szCs w:val="24"/>
        </w:rPr>
        <w:t xml:space="preserve"> формирования оборотных средств, запасов, средств обращения и условий кредитования. </w:t>
      </w:r>
    </w:p>
    <w:p w14:paraId="23AAA6B3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Основные направления развития отрасли: </w:t>
      </w:r>
    </w:p>
    <w:p w14:paraId="2FB0561A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изменения в научном базисе отрасли; </w:t>
      </w:r>
    </w:p>
    <w:p w14:paraId="378FAA28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технические преобразования, касающихся выпускаемой продукции и технологий; </w:t>
      </w:r>
    </w:p>
    <w:p w14:paraId="440FB7A6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изменения организационного характера.  </w:t>
      </w:r>
    </w:p>
    <w:p w14:paraId="17CAE2C8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lastRenderedPageBreak/>
        <w:t xml:space="preserve">Эффективность развития отрасли и предприятий зависит от своевременности реагирования на достижения научно-технического процесса. Сначала, когда средства вкладываются в разработку нового продукта, результаты невысокие, затем повышаются скачкообразно, позже наступает предел. Предел указывает, какие технологии и оборудование начнут устаревать. Если достигнут предел, то продвижение невозможно, издержки возрастают. В такой точке технологического разрыва отрасль редко становится лидером и уступает свои позиции иностранным конкурентам. Технологические сдвиги влекут за собой не только исчезновения отдельных видов продукции, но и целых отраслей. </w:t>
      </w:r>
    </w:p>
    <w:p w14:paraId="6695BD1F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Защита государством отраслей может выражаться в виде: </w:t>
      </w:r>
    </w:p>
    <w:p w14:paraId="2814D471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а) Торговых барьеров: - пошлины – акцизный налог на импортные товары; - импортные квоты; - нетарифные барьеры; </w:t>
      </w:r>
    </w:p>
    <w:p w14:paraId="62E8B705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б) Прямых субсидий и субвенций.  </w:t>
      </w:r>
    </w:p>
    <w:p w14:paraId="76936C33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Основные показатели, характеризующие развитие отрасли: </w:t>
      </w:r>
    </w:p>
    <w:p w14:paraId="0271663E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стоимостные показатели объема выпускаемой продукции; </w:t>
      </w:r>
    </w:p>
    <w:p w14:paraId="722C5826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численность работающих;  </w:t>
      </w:r>
    </w:p>
    <w:p w14:paraId="6EA2E9AF" w14:textId="536C05EE" w:rsidR="00415EEE" w:rsidRP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стоимость основных производственных фондов; </w:t>
      </w:r>
    </w:p>
    <w:p w14:paraId="3CF68F8C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количество безработных; </w:t>
      </w:r>
    </w:p>
    <w:p w14:paraId="13A27DBA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- инвестиции. </w:t>
      </w:r>
    </w:p>
    <w:p w14:paraId="22CE8648" w14:textId="18CDEEA4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Транспортная отрасль сосредотачивает свою деятельность на оказании услуг по перевозке пассажиров, грузов, обслуживании и ремонте транспортных средств и других видах услуг. Отрасль представляет собой </w:t>
      </w:r>
      <w:bookmarkStart w:id="0" w:name="_GoBack"/>
      <w:bookmarkEnd w:id="0"/>
      <w:r w:rsidRPr="00415EEE">
        <w:rPr>
          <w:rFonts w:ascii="Times New Roman" w:hAnsi="Times New Roman" w:cs="Times New Roman"/>
          <w:sz w:val="24"/>
          <w:szCs w:val="24"/>
        </w:rPr>
        <w:t>систему,</w:t>
      </w:r>
      <w:r w:rsidRPr="00415EEE">
        <w:rPr>
          <w:rFonts w:ascii="Times New Roman" w:hAnsi="Times New Roman" w:cs="Times New Roman"/>
          <w:sz w:val="24"/>
          <w:szCs w:val="24"/>
        </w:rPr>
        <w:t xml:space="preserve"> состоящую из автомобильного транспорта, воздушного, железнодорожного трубопроводного. (морской речной). Например, отрасль автомобильного транспорта состоит из предприятий по видам перевозок, специализации, мощности. </w:t>
      </w:r>
    </w:p>
    <w:p w14:paraId="3B559DB7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Народнохозяйственный (макроэкономический) уровень является высшим уровнем управления транспортом. Это уровень директивных государственных органов, прежде всего Правительства РФ, определяющих вместе с Федеральным Собранием основные направления социально-экономического развития страны и ее транспортной системы. Все самые важные вопросы транспортной политики, использования путей сообщения и транспортных средств в международных и внутренних сообщениях рассматриваются и решаются на этом уровне. </w:t>
      </w:r>
    </w:p>
    <w:p w14:paraId="6114B066" w14:textId="77777777" w:rsid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 xml:space="preserve">Отраслевой уровень управления обеспечивает решение задач отраслевого значения в рамках транспортных ведомств – Министерства транспорта и Министерства путей сообщения России. Для этого в распоряжении транспортных министерств имеется центральный аппарат управления, а также научно-исследовательские, проектные и другие </w:t>
      </w:r>
      <w:r w:rsidRPr="00415EEE">
        <w:rPr>
          <w:rFonts w:ascii="Times New Roman" w:hAnsi="Times New Roman" w:cs="Times New Roman"/>
          <w:sz w:val="24"/>
          <w:szCs w:val="24"/>
        </w:rPr>
        <w:lastRenderedPageBreak/>
        <w:t xml:space="preserve">организации, с помощью которых выбираются наилучшие управленческие решения из имеющихся альтернатив. </w:t>
      </w:r>
    </w:p>
    <w:p w14:paraId="489FD147" w14:textId="5E904E32" w:rsidR="00551E59" w:rsidRPr="00415EEE" w:rsidRDefault="00415EEE" w:rsidP="00415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5EEE">
        <w:rPr>
          <w:rFonts w:ascii="Times New Roman" w:hAnsi="Times New Roman" w:cs="Times New Roman"/>
          <w:sz w:val="24"/>
          <w:szCs w:val="24"/>
        </w:rPr>
        <w:t>Региональный уровень управления в последние годы становится все более существенным. Транспортные объединения и отдельные предприятия, решая узкие технологические задачи, выполняют требования региональных властей. Здесь управленческие решения более высоких уровней переходят в конкретные организационно-технологические схемы в качестве ограничений.</w:t>
      </w:r>
    </w:p>
    <w:sectPr w:rsidR="00551E59" w:rsidRPr="00415EE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4D198" w14:textId="77777777" w:rsidR="00A12244" w:rsidRDefault="00A12244" w:rsidP="00415EEE">
      <w:pPr>
        <w:spacing w:after="0" w:line="240" w:lineRule="auto"/>
      </w:pPr>
      <w:r>
        <w:separator/>
      </w:r>
    </w:p>
  </w:endnote>
  <w:endnote w:type="continuationSeparator" w:id="0">
    <w:p w14:paraId="6904AA0E" w14:textId="77777777" w:rsidR="00A12244" w:rsidRDefault="00A12244" w:rsidP="0041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685054"/>
      <w:docPartObj>
        <w:docPartGallery w:val="Page Numbers (Bottom of Page)"/>
        <w:docPartUnique/>
      </w:docPartObj>
    </w:sdtPr>
    <w:sdtContent>
      <w:p w14:paraId="5A8E8578" w14:textId="1A982D5D" w:rsidR="00415EEE" w:rsidRDefault="00415EE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AC317F" w14:textId="77777777" w:rsidR="00415EEE" w:rsidRDefault="00415E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B1282" w14:textId="77777777" w:rsidR="00A12244" w:rsidRDefault="00A12244" w:rsidP="00415EEE">
      <w:pPr>
        <w:spacing w:after="0" w:line="240" w:lineRule="auto"/>
      </w:pPr>
      <w:r>
        <w:separator/>
      </w:r>
    </w:p>
  </w:footnote>
  <w:footnote w:type="continuationSeparator" w:id="0">
    <w:p w14:paraId="7019164C" w14:textId="77777777" w:rsidR="00A12244" w:rsidRDefault="00A12244" w:rsidP="00415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02"/>
    <w:rsid w:val="002C6302"/>
    <w:rsid w:val="00415EEE"/>
    <w:rsid w:val="00551E59"/>
    <w:rsid w:val="00A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B70F"/>
  <w15:chartTrackingRefBased/>
  <w15:docId w15:val="{AD15F27D-C482-4911-B8E2-A3619739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5EEE"/>
  </w:style>
  <w:style w:type="paragraph" w:styleId="a5">
    <w:name w:val="footer"/>
    <w:basedOn w:val="a"/>
    <w:link w:val="a6"/>
    <w:uiPriority w:val="99"/>
    <w:unhideWhenUsed/>
    <w:rsid w:val="0041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2019-10-02T07:31:00Z</dcterms:created>
  <dcterms:modified xsi:type="dcterms:W3CDTF">2019-10-02T07:45:00Z</dcterms:modified>
</cp:coreProperties>
</file>