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Instances: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Security Groups: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Violation Security Groups: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Should be in report: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Security Group 1: FinKib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sg-0907071146df497c7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Security Group 2: AllowAll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sg-0c135f51141f4a1cb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