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docProps/app.xml" ContentType="application/vnd.openxmlformats-officedocument.extended-properties+xml"/>
  <Override PartName="/word/settings.xml" ContentType="application/vnd.openxmlformats-officedocument.wordprocessingml.settings+xml"/>
  <Override PartName="/word/footnotes.xml" ContentType="application/vnd.openxmlformats-officedocument.wordprocessingml.footnotes+xml"/>
  <Override PartName="/word/document.xml" ContentType="application/vnd.openxmlformats-officedocument.wordprocessingml.document.main+xml"/>
  <Override PartName="/customXml/itemProps1.xml" ContentType="application/vnd.openxmlformats-officedocument.customXmlPropertie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709"/>
        <w:pBdr/>
        <w:shd w:val="clear" w:color="auto" w:fill="auto"/>
        <w:spacing/>
        <w:ind/>
        <w:jc w:val="center"/>
        <w:rPr>
          <w:u w:val="none"/>
        </w:rPr>
      </w:pPr>
      <w:r>
        <w:rPr>
          <w:u w:val="none"/>
        </w:rPr>
        <w:t xml:space="preserve">Mowsie: A Monetary Fabric for Stateless Bitcoin Velocity</w:t>
      </w:r>
      <w:r>
        <w:rPr>
          <w:u w:val="none"/>
        </w:rPr>
      </w:r>
    </w:p>
    <w:p>
      <w:pPr>
        <w:pBdr/>
        <w:spacing/>
        <w:ind/>
        <w:jc w:val="center"/>
        <w:rPr/>
      </w:pPr>
      <w:r>
        <w:t xml:space="preserve">Money Without Memory</w:t>
      </w:r>
      <w:r/>
    </w:p>
    <w:p>
      <w:pPr>
        <w:pBdr/>
        <w:spacing/>
        <w:ind/>
        <w:jc w:val="center"/>
        <w:rPr>
          <w:bCs/>
          <w:i/>
        </w:rPr>
      </w:pPr>
      <w:r>
        <w:rPr>
          <w:i/>
          <w:iCs/>
        </w:rPr>
        <w:t xml:space="preserve">“…and through the eyelet lay an absurdly small black hole, no larger than a mouse.”</w:t>
      </w:r>
      <w:r>
        <w:rPr>
          <w:i/>
          <w:iCs/>
        </w:rPr>
      </w:r>
      <w:r>
        <w:rPr>
          <w:i/>
          <w:iCs/>
        </w:rPr>
      </w:r>
    </w:p>
    <w:p>
      <w:pPr>
        <w:pBdr/>
        <w:spacing w:after="120" w:before="120"/>
        <w:ind/>
        <w:rPr>
          <w:rFonts w:ascii="Calibri" w:hAnsi="Calibri" w:cs="Calibri"/>
          <w:b/>
          <w:bCs/>
          <w:color w:val="376092" w:themeColor="accent1" w:themeShade="BF"/>
          <w:sz w:val="28"/>
          <w:szCs w:val="28"/>
        </w:rPr>
      </w:pPr>
      <w:r>
        <w:rPr>
          <w:rFonts w:ascii="Calibri" w:hAnsi="Calibri" w:eastAsia="Calibri" w:cs="Calibri"/>
          <w:b/>
          <w:bCs/>
          <w:color w:val="376092" w:themeColor="accent1" w:themeShade="BF"/>
          <w:sz w:val="28"/>
          <w:szCs w:val="28"/>
        </w:rPr>
        <w:t xml:space="preserve">Abstract</w:t>
      </w:r>
      <w:r>
        <w:rPr>
          <w:rFonts w:ascii="Calibri" w:hAnsi="Calibri" w:eastAsia="Calibri" w:cs="Calibri"/>
          <w:b/>
          <w:bCs/>
          <w:color w:val="376092" w:themeColor="accent1" w:themeShade="BF"/>
          <w:sz w:val="28"/>
          <w:szCs w:val="28"/>
        </w:rPr>
      </w:r>
    </w:p>
    <w:p>
      <w:pPr>
        <w:pBdr/>
        <w:spacing w:after="120" w:before="120"/>
        <w:ind/>
        <w:rPr/>
      </w:pPr>
      <w:r>
        <w:t xml:space="preserve">Mowsie is an open-source, stateless cryptographic value layer enabling instant, private Bitcoin-denominated transfers without operating a blockchain, ledger, token, or </w:t>
      </w:r>
      <w:r>
        <w:t xml:space="preserve">consensus system. Here, “stateless” refers to the computer-science sense of retaining no historical state—not the political meaning of lacking national affiliation. Users deposit native BTC into a vault on Bitcoin, generate zero-knowledge commitments, and </w:t>
      </w:r>
      <w:r>
        <w:t xml:space="preserve">move value inside a minimal, proof-verified fabric on Solana. The core mechanism—an infinite-mint, instant-burn engine—ensures value objects exist only long enough to complete a state transition, leaving no history, lineage, or transaction graph. Bitcoin a</w:t>
      </w:r>
      <w:r>
        <w:t xml:space="preserve">nchors long-term value. Mowsie provides the microsecond store-of-value necessary for motion. The result is a monetary fabric where value exists only in the present state, enabling pure velocity, strong privacy, and a dramatically simplified attack surface.</w:t>
      </w:r>
      <w:r/>
    </w:p>
    <w:p>
      <w:pPr>
        <w:pStyle w:val="693"/>
        <w:pBdr/>
        <w:spacing/>
        <w:ind/>
        <w:rPr/>
      </w:pPr>
      <w:r>
        <w:t xml:space="preserve">1. Introduction</w:t>
      </w:r>
      <w:r/>
    </w:p>
    <w:p>
      <w:pPr>
        <w:pBdr/>
        <w:spacing w:after="120" w:before="120"/>
        <w:ind/>
        <w:rPr/>
      </w:pPr>
      <w:r>
        <w:t xml:space="preserve">Blockchains preserve history. They store every transfer permanently as part of a </w:t>
      </w:r>
      <w:r>
        <w:t xml:space="preserve">ledger. This enables global verification but forces tradeoffs in speed, privacy, and complexity. Lightning improves speed but requires channels and routing assumptions. Privacy chains hide transactions, but still retain ledgers and heavy protocol surfaces.</w:t>
      </w:r>
      <w:r/>
    </w:p>
    <w:p>
      <w:pPr>
        <w:pBdr/>
        <w:spacing w:after="120" w:before="120"/>
        <w:ind/>
        <w:rPr/>
      </w:pPr>
      <w:r>
        <w:t xml:space="preserve">Mowsie takes a different approach. Instead of optimizing a ledger, it removes t</w:t>
      </w:r>
      <w:r>
        <w:t xml:space="preserve">he ledger entirely from the movement of value. The system consists of Bitcoin for settlement, Solana for proof verification, and a stateless zero-knowledge (ZK) monetary fabric that handles internal value transitions with no transaction history whatsoever.</w:t>
      </w:r>
      <w:r/>
    </w:p>
    <w:p>
      <w:pPr>
        <w:pBdr/>
        <w:spacing w:after="120" w:before="120"/>
        <w:ind/>
        <w:rPr/>
      </w:pPr>
      <w:r>
        <w:t xml:space="preserve">No existing system achieves this level of statelessness. Ledger-based designs—including UTXO chains, account models, rollups, m</w:t>
      </w:r>
      <w:r>
        <w:t xml:space="preserve">ixers, and Chaumian e-cash variants—retain some form of historical record or sequential linkage. Even systems that enhance privacy, such as Lightning or ZK rollups, preserve channels, routing structures, or batched transaction logs. Mowsie is distinct in t</w:t>
      </w:r>
      <w:r>
        <w:t xml:space="preserve">hat it eliminates persistence entirely: the fabric stores no addresses, balances, transactions, or lineage—only the current state root. To our knowledge, no deployed architecture removes history this completely while remaining cryptographically verifiable.</w:t>
      </w:r>
      <w:r/>
    </w:p>
    <w:p>
      <w:pPr>
        <w:pBdr/>
        <w:spacing w:after="120" w:before="120"/>
        <w:ind/>
        <w:rPr/>
      </w:pPr>
      <w:r>
        <w:t xml:space="preserve">Mowsie follows a principle of radical minimization: remove every compo</w:t>
      </w:r>
      <w:r>
        <w:t xml:space="preserve">nent that is not strictly necessary for value transfer. What remains is a fabric that treats money purely as motion, not storage. The goal is not to compete with Bitcoin as a ledger, but to provide the missing ‘velocity layer’ that a ledger cannot achieve.</w:t>
      </w:r>
      <w:r/>
    </w:p>
    <w:p>
      <w:pPr>
        <w:pStyle w:val="693"/>
        <w:pBdr/>
        <w:spacing/>
        <w:ind/>
        <w:rPr>
          <w:color w:val="4f81bd" w:themeColor="accent1"/>
          <w:sz w:val="24"/>
          <w:szCs w:val="24"/>
        </w:rPr>
      </w:pPr>
      <w:r>
        <w:rPr>
          <w:color w:val="4f81bd" w:themeColor="accent1"/>
          <w:sz w:val="24"/>
          <w:szCs w:val="24"/>
        </w:rPr>
        <w:t xml:space="preserve">1.1 Roadmap</w:t>
      </w:r>
      <w:r>
        <w:rPr>
          <w:color w:val="4f81bd" w:themeColor="accent1"/>
          <w:sz w:val="24"/>
          <w:szCs w:val="24"/>
        </w:rPr>
      </w:r>
    </w:p>
    <w:p>
      <w:pPr>
        <w:pBdr/>
        <w:spacing w:after="120" w:before="120"/>
        <w:ind/>
        <w:rPr/>
      </w:pPr>
      <w:r>
        <w:t xml:space="preserve">This paper proceeds as follows:</w:t>
      </w:r>
      <w:r/>
    </w:p>
    <w:p>
      <w:pPr>
        <w:pBdr/>
        <w:spacing w:after="120" w:before="120"/>
        <w:ind/>
        <w:rPr/>
      </w:pPr>
      <w:r>
        <w:t xml:space="preserve">Section 2 introduces the concept of a stateless monetary fabric and explains how Mowsie removes persistence from value.</w:t>
        <w:br/>
        <w:t xml:space="preserve">Section 3 formalizes the infinite-mint </w:t>
      </w:r>
      <w:r>
        <w:t xml:space="preserve">/ instant-burn engine and the conservation equation that enables value transitions without lineage.</w:t>
        <w:br/>
        <w:t xml:space="preserve">Section 4 presents the economic model, including the absence of a token, market cap, or speculative surface, and explains how crumbs sustain the system.</w:t>
        <w:br/>
        <w:t xml:space="preserve">Sec</w:t>
      </w:r>
      <w:r>
        <w:t xml:space="preserve">tion 5 outlines the protocol architecture across Bitcoin, Solana, and the Mowsie fabric.</w:t>
        <w:br/>
        <w:t xml:space="preserve">Section 6 defines the commitment structure used to represent value.</w:t>
        <w:br/>
        <w:t xml:space="preserve">Section 7 describes the fixed proving circuit and verification constraints.</w:t>
        <w:br/>
        <w:t xml:space="preserve">Section 8 develops the </w:t>
      </w:r>
      <w:r>
        <w:t xml:space="preserve">protocol’s threat model.</w:t>
        <w:br/>
        <w:t xml:space="preserve">Section 9 covers deposits and withdrawals.</w:t>
        <w:br/>
        <w:t xml:space="preserve">Section 10 details Mowsie’s privacy properties.</w:t>
        <w:br/>
        <w:t xml:space="preserve">Section 11 explains the open-source requirements of the system.</w:t>
        <w:br/>
        <w:t xml:space="preserve">Section 12 concludes with broader implications of stateless value consensus.</w:t>
      </w:r>
      <w:r/>
    </w:p>
    <w:p>
      <w:pPr>
        <w:pStyle w:val="693"/>
        <w:pBdr/>
        <w:spacing/>
        <w:ind/>
        <w:rPr/>
      </w:pPr>
      <w:r>
        <w:t xml:space="preserve">2. Monetary Fabric: Money Without Memory</w:t>
      </w:r>
      <w:r/>
    </w:p>
    <w:p>
      <w:pPr>
        <w:pBdr/>
        <w:spacing w:after="120" w:before="120"/>
        <w:ind/>
        <w:rPr/>
      </w:pPr>
      <w:r>
        <w:t xml:space="preserve">In traditional systems, money is both a record and a bala</w:t>
      </w:r>
      <w:r>
        <w:t xml:space="preserve">nce. A UTXO or account entry is a persistent object with a past. Mowsie removes persistence. Inside the fabric, value is represented by commitments that exist only in the present moment. No addresses, no transactions, no lineage. Only a current state root.</w:t>
      </w:r>
      <w:r/>
    </w:p>
    <w:p>
      <w:pPr>
        <w:pBdr/>
        <w:spacing w:after="120" w:before="120"/>
        <w:ind/>
        <w:rPr/>
      </w:pPr>
      <w:r>
        <w:t xml:space="preserve">This produces a monetary fabric rather than a ledger—a domain where value flows freely and instantaneously, constrained only by mathematical correctness. Value does not retain memory; it exists only as long as needed to move.</w:t>
      </w:r>
      <w:r/>
    </w:p>
    <w:p>
      <w:pPr>
        <w:pStyle w:val="693"/>
        <w:pBdr/>
        <w:spacing/>
        <w:ind/>
        <w:rPr/>
      </w:pPr>
      <w:r>
        <w:t xml:space="preserve">3. Infinite‑Mint / Instant‑Burn Engine</w:t>
      </w:r>
      <w:r/>
    </w:p>
    <w:p>
      <w:pPr>
        <w:pBdr/>
        <w:spacing w:after="120" w:before="120"/>
        <w:ind/>
        <w:rPr/>
      </w:pPr>
      <w:r>
        <w:t xml:space="preserve">Every value object ins</w:t>
      </w:r>
      <w:r>
        <w:t xml:space="preserve">ide Mowsie follows a three-step lifecycle: it is minted as a fresh commitment, used as input to a state transition, and immediately burned. The old state is destroyed, replaced with a newly minted commitment. No commitments persist. No history accumulates.</w:t>
      </w:r>
      <w:r/>
    </w:p>
    <w:p>
      <w:pPr>
        <w:pBdr/>
        <w:spacing w:after="120" w:before="120"/>
        <w:ind/>
        <w:rPr/>
      </w:pPr>
      <w:r>
        <w:t xml:space="preserve">Th</w:t>
      </w:r>
      <w:r>
        <w:t xml:space="preserve">is mechanism prevents inflation mathematically. The system enforces conservation of value and non-negativity, but does not retain any prior structure. A commitment has no parent, no children, and no ancestry. It exists only long enough to perform its role.</w:t>
      </w:r>
      <w:r/>
    </w:p>
    <w:p>
      <w:pPr>
        <w:pStyle w:val="693"/>
        <w:pBdr/>
        <w:spacing/>
        <w:ind/>
        <w:rPr/>
      </w:pPr>
      <w:r>
        <w:t xml:space="preserve">3.1 Conservation Without Lineage</w:t>
      </w:r>
      <w:r/>
    </w:p>
    <w:p>
      <w:pPr>
        <w:pBdr/>
        <w:spacing w:after="120" w:before="120"/>
        <w:ind/>
        <w:rPr/>
      </w:pPr>
      <w:r>
        <w:t xml:space="preserve">Formally, the fabric guarantees strict conservation without preserving lineage:</w:t>
      </w:r>
      <w:r/>
    </w:p>
    <w:p>
      <w:pPr>
        <w:pBdr/>
        <w:spacing w:after="0" w:before="0"/>
        <w:ind/>
        <w:rPr>
          <w:highlight w:val="none"/>
        </w:rPr>
      </w:pPr>
      <w:r>
        <w:rPr>
          <w:highlight w:val="none"/>
        </w:rPr>
        <w:t xml:space="preserve">                                                       </w:t>
      </w:r>
      <w:r>
        <w:rPr>
          <w:rFonts w:ascii="Times New Roman" w:hAnsi="Times New Roman" w:eastAsia="Times New Roman" w:cs="Times New Roman"/>
          <w:color w:val="000000"/>
          <w:sz w:val="72"/>
          <w:szCs w:val="72"/>
        </w:rPr>
        <w:t xml:space="preserve">∑</w:t>
      </w:r>
      <m:oMath>
        <m:sSub>
          <m:sSubPr>
            <m:ctrlPr>
              <w:rPr>
                <w:rFonts w:ascii="Cambria Math" w:hAnsi="Cambria Math" w:eastAsia="Cambria Math" w:cs="Cambria Math"/>
                <w:i/>
                <w:sz w:val="36"/>
              </w:rPr>
            </m:ctrlPr>
          </m:sSubPr>
          <m:e>
            <m:r>
              <w:rPr>
                <w:rFonts w:hint="default" w:ascii="Cambria Math" w:hAnsi="Cambria Math" w:eastAsia="Cambria Math" w:cs="Cambria Math"/>
                <w:sz w:val="36"/>
                <w:szCs w:val="36"/>
              </w:rPr>
              <m:rPr>
                <m:sty m:val="i"/>
              </m:rPr>
              <m:t>B</m:t>
            </m:r>
          </m:e>
          <m:sub>
            <m:r>
              <w:rPr>
                <w:rFonts w:hint="default" w:ascii="Cambria Math" w:hAnsi="Cambria Math" w:eastAsia="Cambria Math" w:cs="Cambria Math"/>
                <w:sz w:val="36"/>
                <w:szCs w:val="36"/>
              </w:rPr>
              <m:rPr>
                <m:sty m:val="i"/>
              </m:rPr>
              <m:t>old</m:t>
            </m:r>
          </m:sub>
        </m:sSub>
      </m:oMath>
      <w:r>
        <w:t xml:space="preserve">​</w:t>
      </w:r>
      <w:r>
        <w:rPr>
          <w:rFonts w:ascii="Times New Roman" w:hAnsi="Times New Roman" w:eastAsia="Times New Roman" w:cs="Times New Roman"/>
          <w:color w:val="000000"/>
          <w:sz w:val="36"/>
          <w:szCs w:val="36"/>
        </w:rPr>
        <w:t xml:space="preserve">=</w:t>
      </w:r>
      <w:r>
        <w:rPr>
          <w:rFonts w:ascii="Times New Roman" w:hAnsi="Times New Roman" w:eastAsia="Times New Roman" w:cs="Times New Roman"/>
          <w:color w:val="000000"/>
          <w:sz w:val="72"/>
          <w:szCs w:val="72"/>
        </w:rPr>
        <w:t xml:space="preserve">∑</w:t>
      </w:r>
      <m:oMath>
        <m:sSub>
          <m:sSubPr>
            <m:ctrlPr>
              <w:rPr>
                <w:rFonts w:ascii="Cambria Math" w:hAnsi="Cambria Math" w:eastAsia="Cambria Math" w:cs="Cambria Math"/>
                <w:i/>
                <w:sz w:val="36"/>
              </w:rPr>
            </m:ctrlPr>
          </m:sSubPr>
          <m:e>
            <m:r>
              <w:rPr>
                <w:rFonts w:hint="default" w:ascii="Cambria Math" w:hAnsi="Cambria Math" w:eastAsia="Cambria Math" w:cs="Cambria Math"/>
                <w:sz w:val="36"/>
                <w:szCs w:val="36"/>
              </w:rPr>
              <m:rPr>
                <m:sty m:val="i"/>
              </m:rPr>
              <m:t>B</m:t>
            </m:r>
          </m:e>
          <m:sub>
            <m:r>
              <w:rPr>
                <w:rFonts w:hint="default" w:ascii="Cambria Math" w:hAnsi="Cambria Math" w:eastAsia="Cambria Math" w:cs="Cambria Math"/>
                <w:sz w:val="36"/>
                <w:szCs w:val="36"/>
              </w:rPr>
              <m:rPr>
                <m:sty m:val="i"/>
              </m:rPr>
              <m:t>new</m:t>
            </m:r>
          </m:sub>
        </m:sSub>
      </m:oMath>
      <w:r>
        <w:rPr>
          <w:rFonts w:ascii="Times New Roman" w:hAnsi="Times New Roman" w:eastAsia="Times New Roman" w:cs="Times New Roman"/>
          <w:color w:val="000000"/>
          <w:sz w:val="24"/>
        </w:rPr>
        <w:t xml:space="preserve">​                 </w:t>
      </w:r>
      <w:r>
        <w:rPr>
          <w:highlight w:val="none"/>
        </w:rPr>
      </w:r>
      <m:oMath>
        <m:sSubSup>
          <m:sSubSupPr>
            <m:alnScr m:val="off"/>
            <m:ctrlPr>
              <w:rPr>
                <w:rFonts w:ascii="Cambria Math" w:hAnsi="Cambria Math" w:eastAsia="Cambria Math" w:cs="Cambria Math"/>
                <w:i/>
              </w:rPr>
            </m:ctrlPr>
          </m:sSubSupPr>
          <m:e>
            <m:r>
              <w:rPr>
                <w:rFonts w:hint="default" w:ascii="Cambria Math" w:hAnsi="Cambria Math" w:eastAsia="Cambria Math" w:cs="Cambria Math"/>
              </w:rPr>
              <m:rPr>
                <m:sty m:val="i"/>
              </m:rPr>
              <m:t> </m:t>
            </m:r>
          </m:e>
          <m:sub>
            <m:r>
              <w:rPr>
                <w:rFonts w:hint="default" w:ascii="Cambria Math" w:hAnsi="Cambria Math" w:eastAsia="Cambria Math" w:cs="Cambria Math"/>
              </w:rPr>
              <m:rPr>
                <m:sty m:val="i"/>
              </m:rPr>
              <m:t>         (1)</m:t>
            </m:r>
          </m:sub>
          <m:sup>
            <m:r>
              <w:rPr>
                <w:rFonts w:hint="default" w:ascii="Cambria Math" w:hAnsi="Cambria Math" w:eastAsia="Cambria Math" w:cs="Cambria Math"/>
              </w:rPr>
              <m:rPr>
                <m:sty m:val="i"/>
              </m:rPr>
              <m:t> </m:t>
            </m:r>
          </m:sup>
        </m:sSubSup>
      </m:oMath>
      <w:r>
        <w:rPr>
          <w:highlight w:val="none"/>
        </w:rPr>
      </w:r>
      <w:r>
        <w:rPr>
          <w:highlight w:val="none"/>
        </w:rPr>
      </w:r>
      <w:r/>
      <w:r/>
      <w:r>
        <w:rPr>
          <w:highlight w:val="none"/>
        </w:rPr>
      </w:r>
    </w:p>
    <w:p>
      <w:pPr>
        <w:pBdr/>
        <w:spacing w:after="120" w:before="120"/>
        <w:ind/>
        <w:rPr/>
      </w:pPr>
      <w:r>
        <w:t xml:space="preserve">but no structural link is retained between the two sets. The burn is absolute; the mint is instantaneous.</w:t>
      </w:r>
      <w:r/>
    </w:p>
    <w:p>
      <w:pPr>
        <w:pBdr/>
        <w:spacing w:after="120" w:before="120"/>
        <w:ind/>
        <w:rPr/>
      </w:pPr>
      <w:r>
        <w:t xml:space="preserve">This equation expresses the core of Mowsie’s monetary model: value transitions must balance, but they do not inherit identity from previous commitments.</w:t>
      </w:r>
      <w:r/>
    </w:p>
    <w:p>
      <w:pPr>
        <w:pStyle w:val="693"/>
        <w:pBdr/>
        <w:spacing/>
        <w:ind/>
        <w:rPr/>
      </w:pPr>
      <w:r>
        <w:t xml:space="preserve">3.2 Stateless Root Evolution</w:t>
      </w:r>
      <w:r/>
    </w:p>
    <w:p>
      <w:pPr>
        <w:pBdr/>
        <w:spacing w:after="120" w:before="120"/>
        <w:ind/>
        <w:rPr/>
      </w:pPr>
      <w:r>
        <w:t xml:space="preserve">Rather than maintaining a history of objects, Mowsie retains only a single state commitment that is updated exclusively by proof:</w:t>
      </w:r>
      <w:r/>
    </w:p>
    <w:p>
      <w:pPr>
        <w:pBdr/>
        <w:spacing/>
        <w:ind/>
        <w:rPr/>
      </w:pPr>
      <w:r/>
      <w:r/>
      <m:oMathPara>
        <m:oMathParaPr/>
        <m:oMath>
          <m:func>
            <m:funcPr>
              <m:ctrlPr>
                <w:rPr>
                  <w:rFonts w:ascii="Cambria Math" w:hAnsi="Cambria Math" w:eastAsia="Cambria Math" w:cs="Cambria Math"/>
                  <w:i w:val="0"/>
                  <w:sz w:val="32"/>
                  <w:u w:val="none"/>
                </w:rPr>
              </m:ctrlPr>
            </m:funcPr>
            <m:fName>
              <m:sSub>
                <m:sSubPr>
                  <m:ctrlPr>
                    <w:rPr>
                      <w:rFonts w:ascii="Cambria Math" w:hAnsi="Cambria Math" w:eastAsia="Cambria Math" w:cs="Cambria Math"/>
                      <w:i w:val="0"/>
                      <w:sz w:val="32"/>
                      <w:u w:val="none"/>
                    </w:rPr>
                  </m:ctrlPr>
                </m:sSubPr>
                <m:e>
                  <m:r>
                    <w:rPr>
                      <w:rFonts w:hint="default" w:ascii="Cambria Math" w:hAnsi="Cambria Math" w:eastAsia="Cambria Math" w:cs="Cambria Math"/>
                      <w:sz w:val="32"/>
                      <w:szCs w:val="32"/>
                      <w:u w:val="none"/>
                    </w:rPr>
                    <m:rPr>
                      <m:sty m:val="p"/>
                    </m:rPr>
                    <m:t>Ro</m:t>
                  </m:r>
                  <m:r>
                    <w:rPr>
                      <w:rFonts w:hint="default" w:ascii="Cambria Math" w:hAnsi="Cambria Math" w:eastAsia="Cambria Math" w:cs="Cambria Math"/>
                      <w:sz w:val="32"/>
                      <w:szCs w:val="32"/>
                      <w:u w:val="none"/>
                    </w:rPr>
                    <m:rPr>
                      <m:sty m:val="p"/>
                    </m:rPr>
                    <m:t>ot</m:t>
                  </m:r>
                </m:e>
                <m:sub>
                  <m:r>
                    <w:rPr>
                      <w:rFonts w:hint="default" w:ascii="Cambria Math" w:hAnsi="Cambria Math" w:eastAsia="Cambria Math" w:cs="Cambria Math"/>
                      <w:sz w:val="32"/>
                      <w:szCs w:val="32"/>
                      <w:u w:val="none"/>
                    </w:rPr>
                    <m:rPr>
                      <m:sty m:val="i"/>
                    </m:rPr>
                    <m:t>t</m:t>
                  </m:r>
                  <m:r>
                    <w:rPr>
                      <w:rFonts w:hint="default" w:ascii="Cambria Math" w:hAnsi="Cambria Math" w:eastAsia="Cambria Math" w:cs="Cambria Math"/>
                      <w:sz w:val="32"/>
                      <w:szCs w:val="32"/>
                      <w:u w:val="none"/>
                    </w:rPr>
                    <m:rPr>
                      <m:sty m:val="p"/>
                    </m:rPr>
                    <m:t>+1</m:t>
                  </m:r>
                </m:sub>
              </m:sSub>
            </m:fName>
            <m:e>
              <m:r>
                <w:rPr>
                  <w:rFonts w:hint="default" w:ascii="Cambria Math" w:hAnsi="Cambria Math" w:eastAsia="Cambria Math" w:cs="Cambria Math"/>
                  <w:sz w:val="32"/>
                  <w:szCs w:val="32"/>
                  <w:u w:val="none"/>
                </w:rPr>
                <m:rPr>
                  <m:sty m:val="p"/>
                </m:rPr>
                <m:t>=Update</m:t>
              </m:r>
              <m:d>
                <m:dPr>
                  <m:endChr m:val=""/>
                  <m:ctrlPr>
                    <w:rPr>
                      <w:rFonts w:ascii="Cambria Math" w:hAnsi="Cambria Math" w:eastAsia="Cambria Math" w:cs="Cambria Math"/>
                      <w:i w:val="0"/>
                      <w:sz w:val="32"/>
                      <w:u w:val="none"/>
                    </w:rPr>
                  </m:ctrlPr>
                </m:dPr>
                <m:e>
                  <m:sSub>
                    <m:sSubPr>
                      <m:ctrlPr>
                        <w:rPr>
                          <w:rFonts w:ascii="Cambria Math" w:hAnsi="Cambria Math" w:eastAsia="Cambria Math" w:cs="Cambria Math"/>
                          <w:i w:val="0"/>
                          <w:sz w:val="32"/>
                          <w:u w:val="none"/>
                        </w:rPr>
                      </m:ctrlPr>
                    </m:sSubPr>
                    <m:e>
                      <m:r>
                        <w:rPr>
                          <w:rFonts w:hint="default" w:ascii="Cambria Math" w:hAnsi="Cambria Math" w:eastAsia="Cambria Math" w:cs="Cambria Math"/>
                          <w:sz w:val="32"/>
                          <w:szCs w:val="32"/>
                          <w:u w:val="none"/>
                        </w:rPr>
                        <m:rPr>
                          <m:sty m:val="p"/>
                        </m:rPr>
                        <m:t>Root</m:t>
                      </m:r>
                    </m:e>
                    <m:sub>
                      <m:r>
                        <w:rPr>
                          <w:rFonts w:hint="default" w:ascii="Cambria Math" w:hAnsi="Cambria Math" w:eastAsia="Cambria Math" w:cs="Cambria Math"/>
                          <w:color w:val="000000"/>
                          <w:sz w:val="32"/>
                          <w:szCs w:val="32"/>
                          <w:u w:val="none"/>
                        </w:rPr>
                        <m:rPr>
                          <m:sty m:val="i"/>
                        </m:rPr>
                        <m:t>t</m:t>
                      </m:r>
                    </m:sub>
                  </m:sSub>
                  <m:d>
                    <m:dPr>
                      <m:begChr m:val=""/>
                      <m:ctrlPr>
                        <w:rPr>
                          <w:rFonts w:ascii="Cambria Math" w:hAnsi="Cambria Math" w:eastAsia="Cambria Math" w:cs="Cambria Math"/>
                          <w:i w:val="0"/>
                          <w:sz w:val="32"/>
                          <w:u w:val="none"/>
                        </w:rPr>
                      </m:ctrlPr>
                    </m:dPr>
                    <m:e>
                      <m:r>
                        <w:rPr>
                          <w:rFonts w:hint="default" w:ascii="Cambria Math" w:hAnsi="Cambria Math" w:eastAsia="Cambria Math" w:cs="Cambria Math"/>
                          <w:sz w:val="32"/>
                          <w:szCs w:val="32"/>
                          <w:u w:val="none"/>
                        </w:rPr>
                        <m:rPr>
                          <m:sty m:val="p"/>
                        </m:rPr>
                        <m:t>,</m:t>
                      </m:r>
                      <m:r>
                        <w:rPr>
                          <w:rFonts w:hint="default" w:ascii="Cambria Math" w:hAnsi="Cambria Math" w:eastAsia="Cambria Math" w:cs="Cambria Math"/>
                          <w:sz w:val="32"/>
                          <w:szCs w:val="32"/>
                          <w:u w:val="none"/>
                        </w:rPr>
                        <m:rPr>
                          <m:sty m:val="p"/>
                        </m:rPr>
                        <m:t>π</m:t>
                      </m:r>
                    </m:e>
                  </m:d>
                </m:e>
              </m:d>
            </m:e>
          </m:func>
        </m:oMath>
      </m:oMathPara>
      <w:r/>
      <w:r/>
      <w:r/>
    </w:p>
    <w:p>
      <w:pPr>
        <w:pBdr/>
        <w:spacing w:after="120" w:before="120"/>
        <w:ind/>
        <w:rPr/>
      </w:pPr>
      <w:r>
        <w:t xml:space="preserve">Here, </w:t>
      </w:r>
      <w:r>
        <w:rPr>
          <w:i/>
          <w:iCs/>
        </w:rPr>
        <w:t xml:space="preserve">t </w:t>
      </w:r>
      <w:r>
        <w:t xml:space="preserve">denotes the current state-transition index, and </w:t>
      </w:r>
      <w:r>
        <w:rPr>
          <w:i/>
          <w:iCs/>
        </w:rPr>
        <w:t xml:space="preserve">π</w:t>
      </w:r>
      <w:r>
        <w:t xml:space="preserve"> is the zero-knowledge proof verifying the correctness of the transition.</w:t>
      </w:r>
      <w:r/>
    </w:p>
    <w:p>
      <w:pPr>
        <w:pBdr/>
        <w:spacing w:after="120" w:before="120"/>
        <w:ind/>
        <w:rPr/>
      </w:pPr>
      <w:r>
        <w:t xml:space="preserve">No intermediate commitments persist; only the evolving root is preserved. This root serves as the canonical state of the system—no addresses, transactions, balances, or historical artifacts remain. Bitcoin anchors value; Mowsie anchors motion.</w:t>
      </w:r>
      <w:r/>
    </w:p>
    <w:p>
      <w:pPr>
        <w:pBdr/>
        <w:spacing w:after="120" w:before="120"/>
        <w:ind/>
        <w:rPr/>
      </w:pPr>
      <w:r>
        <w:t xml:space="preserve">By removing lineage entirely, the system collapses to a minimal, proof-driven state.</w:t>
      </w:r>
      <w:r/>
    </w:p>
    <w:p>
      <w:pPr>
        <w:pBdr/>
        <w:spacing/>
        <w:ind/>
        <w:rPr/>
      </w:pPr>
      <w:r/>
      <w:r/>
    </w:p>
    <w:p>
      <w:pPr>
        <w:pBdr/>
        <w:spacing w:after="120" w:before="120"/>
        <w:ind/>
        <w:rPr/>
      </w:pPr>
      <w:r>
        <w:t xml:space="preserve">This microsecond lifespan is not a limitation—it is the final form of mone</w:t>
      </w:r>
      <w:r>
        <w:t xml:space="preserve">y. In the end stages of hyperinflation, fiat currencies accidentally behave this way: they store value only for the instant it takes to spend them. Mowsie achieves this intentionally and without economic collapse, reducing the store-of-value function to th</w:t>
      </w:r>
      <w:r>
        <w:t xml:space="preserve">e precise minimum required for movement. Value persists for the duration of the transition and no longer. This is money stripped to its mathematical essence: a momentary carrier of value that cannot inflate, cannot accumulate, and cannot leave a footprint.</w:t>
      </w:r>
      <w:r/>
    </w:p>
    <w:p>
      <w:pPr>
        <w:pStyle w:val="693"/>
        <w:pBdr/>
        <w:spacing/>
        <w:ind/>
        <w:rPr/>
      </w:pPr>
      <w:r>
        <w:t xml:space="preserve">4. Economic Model</w:t>
      </w:r>
      <w:r/>
    </w:p>
    <w:p>
      <w:pPr>
        <w:pBdr/>
        <w:spacing w:after="120" w:before="120"/>
        <w:ind/>
        <w:rPr/>
      </w:pPr>
      <w:r>
        <w:t xml:space="preserve">Mowsie has no token, no market cap, no circulating supply, no inflation schedule, and no governance layer. The only measurable qua</w:t>
      </w:r>
      <w:r>
        <w:t xml:space="preserve">ntity is the amount of BTC present in the Bitcoin vault at any moment. Mowsie cannot inflate because it cannot store value for more than a microsecond inside the fabric. Bitcoin provides the long-term store of value; Mowsie provides instantaneous velocity.</w:t>
      </w:r>
      <w:r/>
    </w:p>
    <w:p>
      <w:pPr>
        <w:pStyle w:val="693"/>
        <w:pBdr/>
        <w:spacing/>
        <w:ind/>
        <w:rPr/>
      </w:pPr>
      <w:r>
        <w:t xml:space="preserve">4.1 Incentive Landscape and Why This Space Was Unexplored</w:t>
      </w:r>
      <w:r/>
    </w:p>
    <w:p>
      <w:pPr>
        <w:pBdr/>
        <w:spacing w:after="120" w:before="120"/>
        <w:ind/>
        <w:rPr/>
      </w:pPr>
      <w:r>
        <w:t xml:space="preserve">Stateless mone</w:t>
      </w:r>
      <w:r>
        <w:t xml:space="preserve">tary fabrics offer no speculative surface. Systems without tokens cannot appreciate, cannot accumulate TVL, and cannot create protocol-owned capital. As a result, this design space was largely ignored in the broader cryptographic finance ecosystem. Mowsie </w:t>
      </w:r>
      <w:r>
        <w:t xml:space="preserve">operates in a domain where value objects vanish instantly and cannot be captured or collateralized. Removing persistence removes both inflationary risk and the traditional monetization path that made prior architectures economically attractive to builders.</w:t>
      </w:r>
      <w:r/>
    </w:p>
    <w:p>
      <w:pPr>
        <w:pStyle w:val="693"/>
        <w:pBdr/>
        <w:spacing/>
        <w:ind/>
        <w:rPr/>
      </w:pPr>
      <w:r>
        <w:t xml:space="preserve">4.2 Fee Model: Crumbs as Self-Sustaining Infrastructure</w:t>
      </w:r>
      <w:r/>
    </w:p>
    <w:p>
      <w:pPr>
        <w:pBdr/>
        <w:spacing w:after="120" w:before="120"/>
        <w:ind/>
        <w:rPr/>
      </w:pPr>
      <w:r>
        <w:t xml:space="preserve">The protocol has no faucet and issues no subsidized gas. All movement inside the fabric is powered by a single mechanism:</w:t>
      </w:r>
      <w:r/>
    </w:p>
    <w:p>
      <w:pPr>
        <w:pBdr/>
        <w:spacing w:after="120" w:before="120"/>
        <w:ind/>
        <w:rPr/>
      </w:pPr>
      <w:r>
        <w:t xml:space="preserve">Users voluntarily consume satoshis (“crumbs”) from their own BTC balance to convert them into blink credits.</w:t>
      </w:r>
      <w:r/>
    </w:p>
    <w:p>
      <w:pPr>
        <w:pBdr/>
        <w:spacing w:after="120" w:before="120"/>
        <w:ind/>
        <w:rPr/>
      </w:pPr>
      <w:r>
        <w:t xml:space="preserve">These credits (measured by the capacity to submit state transitions) fund all protocol-level Solana operations.</w:t>
        <w:br/>
        <w:t xml:space="preserve">The conversion rate is approximately:</w:t>
      </w:r>
      <w:r/>
    </w:p>
    <w:p>
      <w:pPr>
        <w:pBdr/>
        <w:spacing w:after="120" w:before="120"/>
        <w:ind/>
        <w:rPr/>
      </w:pPr>
      <w:r>
        <w:t xml:space="preserve">1 crumb (1 sat) → N blink credits, where N ≈ the number of Solana verification writes purchasable by 1 sat.</w:t>
      </w:r>
      <w:r/>
    </w:p>
    <w:p>
      <w:pPr>
        <w:pBdr/>
        <w:spacing w:after="120" w:before="120"/>
        <w:ind/>
        <w:rPr/>
      </w:pPr>
      <w:r>
        <w:t xml:space="preserve">This rate is adjustable to track underlying gas costs, but remains approximately constant.</w:t>
        <w:br/>
        <w:t xml:space="preserve">Blink credits have no persistence and cannot be withdrawn or traded.</w:t>
      </w:r>
      <w:r/>
    </w:p>
    <w:p>
      <w:pPr>
        <w:pBdr/>
        <w:spacing w:after="120" w:before="120"/>
        <w:ind/>
        <w:rPr/>
      </w:pPr>
      <w:r>
        <w:t xml:space="preserve">Crumb consumption is not a fee in the traditional sense.</w:t>
        <w:br/>
        <w:t xml:space="preserve">It is a conversion of stored BTC value into the operational capacity required to move inside a stateless fabric.</w:t>
      </w:r>
      <w:r/>
    </w:p>
    <w:p>
      <w:pPr>
        <w:pBdr/>
        <w:spacing w:after="120" w:before="120"/>
        <w:ind/>
        <w:rPr/>
      </w:pPr>
      <w:r>
        <w:t xml:space="preserve">Blink credits are not transferable and never leave the protocol.</w:t>
      </w:r>
      <w:r/>
    </w:p>
    <w:p>
      <w:pPr>
        <w:pStyle w:val="693"/>
        <w:pBdr/>
        <w:spacing/>
        <w:ind/>
        <w:rPr/>
      </w:pPr>
      <w:r>
        <w:t xml:space="preserve">4.3 Activation and Handle Binding</w:t>
      </w:r>
      <w:r/>
    </w:p>
    <w:p>
      <w:pPr>
        <w:pBdr/>
        <w:spacing w:after="120" w:before="120"/>
        <w:ind/>
        <w:rPr/>
      </w:pPr>
      <w:r>
        <w:t xml:space="preserve">Dormant wallets (“egg addresses”) cannot act until they consume at least one crumb.</w:t>
        <w:br/>
        <w:t xml:space="preserve">The first crumb consumed by a wallet:</w:t>
      </w:r>
      <w:r/>
    </w:p>
    <w:p>
      <w:pPr>
        <w:pBdr/>
        <w:spacing w:after="120" w:before="120"/>
        <w:ind/>
        <w:rPr/>
      </w:pPr>
      <w:r>
        <w:t xml:space="preserve">binds the user’s chosen handle</w:t>
      </w:r>
      <w:r/>
    </w:p>
    <w:p>
      <w:pPr>
        <w:pBdr/>
        <w:spacing w:after="120" w:before="120"/>
        <w:ind/>
        <w:rPr/>
      </w:pPr>
      <w:r>
        <w:t xml:space="preserve">activates the wallet</w:t>
      </w:r>
      <w:r/>
    </w:p>
    <w:p>
      <w:pPr>
        <w:pBdr/>
        <w:spacing w:after="120" w:before="120"/>
        <w:ind/>
        <w:rPr/>
      </w:pPr>
      <w:r>
        <w:t xml:space="preserve">converts the crumb into the initial batch of blink credits</w:t>
      </w:r>
      <w:r/>
    </w:p>
    <w:p>
      <w:pPr>
        <w:pBdr/>
        <w:spacing w:after="120" w:before="120"/>
        <w:ind/>
        <w:rPr/>
      </w:pPr>
      <w:r>
        <w:t xml:space="preserve">transitions the wallet from dormant to active state</w:t>
      </w:r>
      <w:r/>
    </w:p>
    <w:p>
      <w:pPr>
        <w:pBdr/>
        <w:spacing w:after="120" w:before="120"/>
        <w:ind/>
        <w:rPr/>
      </w:pPr>
      <w:r>
        <w:t xml:space="preserve">This removes the need for a faucet and prevents mass wallet creation attacks, since every activation requires burning real value.</w:t>
      </w:r>
      <w:r/>
    </w:p>
    <w:p>
      <w:pPr>
        <w:pStyle w:val="693"/>
        <w:pBdr/>
        <w:spacing/>
        <w:ind/>
        <w:rPr/>
      </w:pPr>
      <w:r>
        <w:t xml:space="preserve">4.4 Blinking</w:t>
      </w:r>
      <w:r/>
    </w:p>
    <w:p>
      <w:pPr>
        <w:pBdr/>
        <w:spacing w:after="120" w:before="120"/>
        <w:ind/>
        <w:rPr/>
      </w:pPr>
      <w:r>
        <w:t xml:space="preserve">A blink is the smallest unit of internal computation within the Mowsie fabric. One blink performs a single state transition.</w:t>
      </w:r>
      <w:r/>
    </w:p>
    <w:p>
      <w:pPr>
        <w:pBdr/>
        <w:spacing w:after="120" w:before="120"/>
        <w:ind/>
        <w:rPr/>
      </w:pPr>
      <w:r>
        <w:t xml:space="preserve">Each internal action consumes one blink credit, including:</w:t>
      </w:r>
      <w:r/>
    </w:p>
    <w:p>
      <w:pPr>
        <w:pStyle w:val="713"/>
        <w:numPr>
          <w:ilvl w:val="0"/>
          <w:numId w:val="10"/>
        </w:numPr>
        <w:pBdr/>
        <w:spacing w:after="120" w:before="120"/>
        <w:ind/>
        <w:rPr/>
      </w:pPr>
      <w:r>
        <w:t xml:space="preserve">internal sends</w:t>
      </w:r>
      <w:r/>
    </w:p>
    <w:p>
      <w:pPr>
        <w:pStyle w:val="713"/>
        <w:numPr>
          <w:ilvl w:val="0"/>
          <w:numId w:val="10"/>
        </w:numPr>
        <w:pBdr/>
        <w:spacing w:after="120" w:before="120"/>
        <w:ind/>
        <w:rPr/>
      </w:pPr>
      <w:r>
        <w:t xml:space="preserve">internal balance updates</w:t>
      </w:r>
      <w:r/>
    </w:p>
    <w:p>
      <w:pPr>
        <w:pStyle w:val="713"/>
        <w:numPr>
          <w:ilvl w:val="0"/>
          <w:numId w:val="10"/>
        </w:numPr>
        <w:pBdr/>
        <w:spacing w:after="120" w:before="120"/>
        <w:ind/>
        <w:rPr/>
      </w:pPr>
      <w:r>
        <w:t xml:space="preserve">proof submissions</w:t>
      </w:r>
      <w:r/>
    </w:p>
    <w:p>
      <w:pPr>
        <w:pStyle w:val="713"/>
        <w:numPr>
          <w:ilvl w:val="0"/>
          <w:numId w:val="10"/>
        </w:numPr>
        <w:pBdr/>
        <w:spacing w:after="120" w:before="120"/>
        <w:ind/>
        <w:rPr/>
      </w:pPr>
      <w:r>
        <w:t xml:space="preserve">privacy resets</w:t>
      </w:r>
      <w:r/>
    </w:p>
    <w:p>
      <w:pPr>
        <w:pStyle w:val="713"/>
        <w:numPr>
          <w:ilvl w:val="0"/>
          <w:numId w:val="10"/>
        </w:numPr>
        <w:pBdr/>
        <w:spacing w:after="120" w:before="120"/>
        <w:ind/>
        <w:rPr/>
      </w:pPr>
      <w:r>
        <w:t xml:space="preserve">commitment reshuffles</w:t>
      </w:r>
      <w:r/>
    </w:p>
    <w:p>
      <w:pPr>
        <w:pStyle w:val="713"/>
        <w:numPr>
          <w:ilvl w:val="0"/>
          <w:numId w:val="10"/>
        </w:numPr>
        <w:pBdr/>
        <w:spacing w:after="120" w:before="120"/>
        <w:ind/>
        <w:rPr/>
      </w:pPr>
      <w:r>
        <w:t xml:space="preserve">deposits (after Bitcoin settlement)</w:t>
      </w:r>
      <w:r/>
    </w:p>
    <w:p>
      <w:pPr>
        <w:pStyle w:val="713"/>
        <w:numPr>
          <w:ilvl w:val="0"/>
          <w:numId w:val="10"/>
        </w:numPr>
        <w:pBdr/>
        <w:spacing w:after="120" w:before="120"/>
        <w:ind/>
        <w:rPr/>
      </w:pPr>
      <w:r>
        <w:t xml:space="preserve">withdrawals (before Bitcoin sweep)</w:t>
      </w:r>
      <w:r/>
    </w:p>
    <w:p>
      <w:pPr>
        <w:pStyle w:val="713"/>
        <w:numPr>
          <w:ilvl w:val="0"/>
          <w:numId w:val="10"/>
        </w:numPr>
        <w:pBdr/>
        <w:spacing w:after="120" w:before="120"/>
        <w:ind/>
        <w:rPr/>
      </w:pPr>
      <w:r>
        <w:t xml:space="preserve">wallet renewal</w:t>
      </w:r>
      <w:r/>
    </w:p>
    <w:p>
      <w:pPr>
        <w:pBdr/>
        <w:spacing w:after="120" w:before="120"/>
        <w:ind/>
        <w:rPr/>
      </w:pPr>
      <w:r>
        <w:t xml:space="preserve">Blink credits have no market value, no token form, and no persistence.</w:t>
        <w:br/>
        <w:t xml:space="preserve">They function solely as ephemeral operational capacity:</w:t>
      </w:r>
      <w:r/>
    </w:p>
    <w:p>
      <w:pPr>
        <w:pStyle w:val="713"/>
        <w:numPr>
          <w:ilvl w:val="0"/>
          <w:numId w:val="11"/>
        </w:numPr>
        <w:pBdr/>
        <w:spacing w:after="120" w:before="120"/>
        <w:ind/>
        <w:rPr/>
      </w:pPr>
      <w:r>
        <w:t xml:space="preserve">they cannot be traded or transferred</w:t>
      </w:r>
      <w:r/>
    </w:p>
    <w:p>
      <w:pPr>
        <w:pStyle w:val="713"/>
        <w:numPr>
          <w:ilvl w:val="0"/>
          <w:numId w:val="11"/>
        </w:numPr>
        <w:pBdr/>
        <w:spacing w:after="120" w:before="120"/>
        <w:ind/>
        <w:rPr/>
      </w:pPr>
      <w:r>
        <w:t xml:space="preserve">they are consumed the instant they are used</w:t>
      </w:r>
      <w:r/>
    </w:p>
    <w:p>
      <w:pPr>
        <w:pStyle w:val="713"/>
        <w:numPr>
          <w:ilvl w:val="0"/>
          <w:numId w:val="11"/>
        </w:numPr>
        <w:pBdr/>
        <w:spacing w:after="120" w:before="120"/>
        <w:ind/>
        <w:rPr/>
      </w:pPr>
      <w:r>
        <w:t xml:space="preserve">they disappear when the wallet expires</w:t>
      </w:r>
      <w:r/>
    </w:p>
    <w:p>
      <w:pPr>
        <w:pBdr/>
        <w:spacing w:after="120" w:before="120"/>
        <w:ind/>
        <w:rPr/>
      </w:pPr>
      <w:r>
        <w:t xml:space="preserve">A blink credit represents capacity, not currency.</w:t>
      </w:r>
      <w:r/>
    </w:p>
    <w:p>
      <w:pPr>
        <w:pStyle w:val="693"/>
        <w:pBdr/>
        <w:spacing/>
        <w:ind/>
        <w:rPr/>
      </w:pPr>
      <w:r>
        <w:t xml:space="preserve">4.5 Wallet Expiration and Renewal</w:t>
      </w:r>
      <w:r/>
    </w:p>
    <w:p>
      <w:pPr>
        <w:pBdr/>
        <w:spacing w:after="120" w:before="120"/>
        <w:ind/>
        <w:rPr/>
      </w:pPr>
      <w:r>
        <w:t xml:space="preserve">Expired wallets lose the ability to produce new commitments, but the BTC associated with their commitments in the vault remains intact.</w:t>
        <w:br/>
        <w:t xml:space="preserve">Unconsumed crumbs left in expiring wallets revert to the protocol as described below.</w:t>
      </w:r>
      <w:r/>
    </w:p>
    <w:p>
      <w:pPr>
        <w:pBdr/>
        <w:spacing w:after="120" w:before="120"/>
        <w:ind/>
        <w:rPr/>
      </w:pPr>
      <w:r>
        <w:t xml:space="preserve">Unused blink credits expire with the wallet and are implicitly burned.</w:t>
        <w:br/>
        <w:t xml:space="preserve">They do not enter the Feast of Crumbs and are not reclaimed by the protocol.</w:t>
      </w:r>
      <w:r/>
    </w:p>
    <w:p>
      <w:pPr>
        <w:pStyle w:val="693"/>
        <w:pBdr/>
        <w:spacing/>
        <w:ind/>
        <w:rPr/>
      </w:pPr>
      <w:r>
        <w:t xml:space="preserve">4.6 The Feast of Crumbs</w:t>
      </w:r>
      <w:r/>
    </w:p>
    <w:p>
      <w:pPr>
        <w:pBdr/>
        <w:spacing w:after="120" w:before="120"/>
        <w:ind/>
        <w:rPr/>
      </w:pPr>
      <w:r>
        <w:t xml:space="preserve">Any crumb consumed by users is retained by the protocol’s internal Solana-gas wallet.</w:t>
        <w:br/>
        <w:t xml:space="preserve">Any crumb left unconsumed in expired wallets is also retained.</w:t>
      </w:r>
      <w:r/>
    </w:p>
    <w:p>
      <w:pPr>
        <w:pBdr/>
        <w:spacing w:after="120" w:before="120"/>
        <w:ind/>
        <w:rPr/>
      </w:pPr>
      <w:r>
        <w:t xml:space="preserve">Because the vault is a single consolidated Bitcoin UTXO pool, these reversions require no consolidation transaction and incur no on-chain fees.</w:t>
      </w:r>
      <w:r/>
    </w:p>
    <w:p>
      <w:pPr>
        <w:pBdr/>
        <w:spacing w:after="120" w:before="120"/>
        <w:ind/>
        <w:rPr/>
      </w:pPr>
      <w:r>
        <w:t xml:space="preserve">The protocol periodically withdraws accumulated crumbs once they reach a useful threshold. These crumbs fund:</w:t>
      </w:r>
      <w:r/>
    </w:p>
    <w:p>
      <w:pPr>
        <w:pStyle w:val="713"/>
        <w:numPr>
          <w:ilvl w:val="0"/>
          <w:numId w:val="12"/>
        </w:numPr>
        <w:pBdr/>
        <w:spacing w:after="120" w:before="120"/>
        <w:ind/>
        <w:rPr/>
      </w:pPr>
      <w:r>
        <w:t xml:space="preserve">proof-verification gas</w:t>
      </w:r>
      <w:r/>
    </w:p>
    <w:p>
      <w:pPr>
        <w:pStyle w:val="713"/>
        <w:numPr>
          <w:ilvl w:val="0"/>
          <w:numId w:val="12"/>
        </w:numPr>
        <w:pBdr/>
        <w:spacing w:after="120" w:before="120"/>
        <w:ind/>
        <w:rPr/>
      </w:pPr>
      <w:r>
        <w:t xml:space="preserve">system maintenance</w:t>
      </w:r>
      <w:r/>
    </w:p>
    <w:p>
      <w:pPr>
        <w:pStyle w:val="713"/>
        <w:numPr>
          <w:ilvl w:val="0"/>
          <w:numId w:val="12"/>
        </w:numPr>
        <w:pBdr/>
        <w:spacing w:after="120" w:before="120"/>
        <w:ind/>
        <w:rPr/>
      </w:pPr>
      <w:r>
        <w:t xml:space="preserve">long-term development</w:t>
      </w:r>
      <w:r/>
    </w:p>
    <w:p>
      <w:pPr>
        <w:pStyle w:val="713"/>
        <w:numPr>
          <w:ilvl w:val="0"/>
          <w:numId w:val="12"/>
        </w:numPr>
        <w:pBdr/>
        <w:spacing w:after="120" w:before="120"/>
        <w:ind/>
        <w:rPr/>
      </w:pPr>
      <w:r>
        <w:t xml:space="preserve">onboarding support</w:t>
      </w:r>
      <w:r/>
    </w:p>
    <w:p>
      <w:pPr>
        <w:pBdr/>
        <w:spacing w:after="120" w:before="120"/>
        <w:ind/>
        <w:rPr/>
      </w:pPr>
      <w:r>
        <w:t xml:space="preserve">The protocol is entirely self-funding; no tokens, no inflation, no external capital requirements.</w:t>
      </w:r>
      <w:r/>
    </w:p>
    <w:p>
      <w:pPr>
        <w:pStyle w:val="693"/>
        <w:pBdr/>
        <w:spacing/>
        <w:ind/>
        <w:rPr/>
      </w:pPr>
      <w:r>
        <w:t xml:space="preserve">4.7 Anti-Spam and Anti-Arbitrage Properties</w:t>
      </w:r>
      <w:r/>
    </w:p>
    <w:p>
      <w:pPr>
        <w:pBdr/>
        <w:spacing w:after="120" w:before="120"/>
        <w:ind/>
        <w:rPr/>
      </w:pPr>
      <w:r>
        <w:t xml:space="preserve">Since users must consume crumbs to obtain blink credits:</w:t>
      </w:r>
      <w:r/>
    </w:p>
    <w:p>
      <w:pPr>
        <w:pStyle w:val="713"/>
        <w:numPr>
          <w:ilvl w:val="0"/>
          <w:numId w:val="13"/>
        </w:numPr>
        <w:pBdr/>
        <w:spacing w:after="120" w:before="120"/>
        <w:ind/>
        <w:rPr/>
      </w:pPr>
      <w:r>
        <w:t xml:space="preserve">mass-wallet creation becomes economically infeasible</w:t>
      </w:r>
      <w:r/>
    </w:p>
    <w:p>
      <w:pPr>
        <w:pStyle w:val="713"/>
        <w:numPr>
          <w:ilvl w:val="0"/>
          <w:numId w:val="13"/>
        </w:numPr>
        <w:pBdr/>
        <w:spacing w:after="120" w:before="120"/>
        <w:ind/>
        <w:rPr/>
      </w:pPr>
      <w:r>
        <w:t xml:space="preserve">spam attacks require burning satoshis, producing no extractable benefit</w:t>
      </w:r>
      <w:r/>
    </w:p>
    <w:p>
      <w:pPr>
        <w:pStyle w:val="713"/>
        <w:numPr>
          <w:ilvl w:val="0"/>
          <w:numId w:val="13"/>
        </w:numPr>
        <w:pBdr/>
        <w:spacing w:after="120" w:before="120"/>
        <w:ind/>
        <w:rPr/>
      </w:pPr>
      <w:r>
        <w:t xml:space="preserve">arbitrage is impossible because blink credits have zero external value</w:t>
      </w:r>
      <w:r/>
    </w:p>
    <w:p>
      <w:pPr>
        <w:pStyle w:val="713"/>
        <w:numPr>
          <w:ilvl w:val="0"/>
          <w:numId w:val="13"/>
        </w:numPr>
        <w:pBdr/>
        <w:spacing w:after="120" w:before="120"/>
        <w:ind/>
        <w:rPr/>
      </w:pPr>
      <w:r>
        <w:t xml:space="preserve">attackers cannot withdraw or monetize consumed crumbs</w:t>
      </w:r>
      <w:r/>
    </w:p>
    <w:p>
      <w:pPr>
        <w:pStyle w:val="713"/>
        <w:numPr>
          <w:ilvl w:val="0"/>
          <w:numId w:val="13"/>
        </w:numPr>
        <w:pBdr/>
        <w:spacing w:after="120" w:before="120"/>
        <w:ind/>
        <w:rPr/>
      </w:pPr>
      <w:r>
        <w:t xml:space="preserve">protocol-funding grows proportionally with attempted spam</w:t>
      </w:r>
      <w:r/>
    </w:p>
    <w:p>
      <w:pPr>
        <w:pStyle w:val="713"/>
        <w:numPr>
          <w:ilvl w:val="0"/>
          <w:numId w:val="13"/>
        </w:numPr>
        <w:pBdr/>
        <w:spacing w:after="120" w:before="120"/>
        <w:ind/>
        <w:rPr/>
      </w:pPr>
      <w:r>
        <w:t xml:space="preserve">All malicious activity directly powers the infrastructure.</w:t>
      </w:r>
      <w:r/>
    </w:p>
    <w:p>
      <w:pPr>
        <w:pStyle w:val="693"/>
        <w:pBdr/>
        <w:spacing/>
        <w:ind/>
        <w:rPr/>
      </w:pPr>
      <w:r>
        <w:t xml:space="preserve">4.8 Summary</w:t>
      </w:r>
      <w:r/>
    </w:p>
    <w:p>
      <w:pPr>
        <w:pBdr/>
        <w:spacing w:after="120" w:before="120"/>
        <w:ind/>
        <w:rPr/>
      </w:pPr>
      <w:r>
        <w:t xml:space="preserve">Mowsie introduces a metabolic economic model in which:</w:t>
      </w:r>
      <w:r/>
    </w:p>
    <w:p>
      <w:pPr>
        <w:pStyle w:val="713"/>
        <w:numPr>
          <w:ilvl w:val="0"/>
          <w:numId w:val="14"/>
        </w:numPr>
        <w:pBdr/>
        <w:spacing w:after="120" w:before="120"/>
        <w:ind/>
        <w:rPr/>
      </w:pPr>
      <w:r>
        <w:t xml:space="preserve">BTC is converted into blink credits</w:t>
      </w:r>
      <w:r/>
    </w:p>
    <w:p>
      <w:pPr>
        <w:pStyle w:val="713"/>
        <w:numPr>
          <w:ilvl w:val="0"/>
          <w:numId w:val="14"/>
        </w:numPr>
        <w:pBdr/>
        <w:spacing w:after="120" w:before="120"/>
        <w:ind/>
        <w:rPr/>
      </w:pPr>
      <w:r>
        <w:t xml:space="preserve">blink credits enable internal velocity</w:t>
      </w:r>
      <w:r/>
    </w:p>
    <w:p>
      <w:pPr>
        <w:pStyle w:val="713"/>
        <w:numPr>
          <w:ilvl w:val="0"/>
          <w:numId w:val="14"/>
        </w:numPr>
        <w:pBdr/>
        <w:spacing w:after="120" w:before="120"/>
        <w:ind/>
        <w:rPr/>
      </w:pPr>
      <w:r>
        <w:t xml:space="preserve">crumb consumption funds proof-verification</w:t>
      </w:r>
      <w:r/>
    </w:p>
    <w:p>
      <w:pPr>
        <w:pStyle w:val="713"/>
        <w:numPr>
          <w:ilvl w:val="0"/>
          <w:numId w:val="14"/>
        </w:numPr>
        <w:pBdr/>
        <w:spacing w:after="120" w:before="120"/>
        <w:ind/>
        <w:rPr/>
      </w:pPr>
      <w:r>
        <w:t xml:space="preserve">wallet activation and renewal require the same mechanism</w:t>
      </w:r>
      <w:r/>
    </w:p>
    <w:p>
      <w:pPr>
        <w:pStyle w:val="713"/>
        <w:numPr>
          <w:ilvl w:val="0"/>
          <w:numId w:val="14"/>
        </w:numPr>
        <w:pBdr/>
        <w:spacing w:after="120" w:before="120"/>
        <w:ind/>
        <w:rPr/>
      </w:pPr>
      <w:r>
        <w:t xml:space="preserve">spam and abuse burn value rather than extracting it</w:t>
      </w:r>
      <w:r/>
    </w:p>
    <w:p>
      <w:pPr>
        <w:pStyle w:val="713"/>
        <w:numPr>
          <w:ilvl w:val="0"/>
          <w:numId w:val="14"/>
        </w:numPr>
        <w:pBdr/>
        <w:spacing w:after="120" w:before="120"/>
        <w:ind/>
        <w:rPr/>
      </w:pPr>
      <w:r>
        <w:t xml:space="preserve">the protocol is self-sustaining without tokens or fees</w:t>
      </w:r>
      <w:r/>
    </w:p>
    <w:p>
      <w:pPr>
        <w:pBdr/>
        <w:spacing w:after="120" w:before="120"/>
        <w:ind/>
        <w:rPr/>
      </w:pPr>
      <w:r>
        <w:t xml:space="preserve">This model enables a stateless system to survive indefinitely while maintaining minimalism, neutrality, and strong economic guarantees.</w:t>
      </w:r>
      <w:r/>
    </w:p>
    <w:p>
      <w:pPr>
        <w:pStyle w:val="693"/>
        <w:pBdr/>
        <w:spacing/>
        <w:ind/>
        <w:rPr/>
      </w:pPr>
      <w:r>
        <w:t xml:space="preserve">5. System Architecture</w:t>
      </w:r>
      <w:r/>
    </w:p>
    <w:p>
      <w:pPr>
        <w:pBdr/>
        <w:spacing w:after="120" w:before="120"/>
        <w:ind/>
        <w:rPr/>
      </w:pPr>
      <w:r>
        <w:t xml:space="preserve">Mowsie consists of three cooperative layers:</w:t>
      </w:r>
      <w:r/>
    </w:p>
    <w:p>
      <w:pPr>
        <w:pStyle w:val="713"/>
        <w:numPr>
          <w:ilvl w:val="0"/>
          <w:numId w:val="15"/>
        </w:numPr>
        <w:pBdr/>
        <w:spacing w:after="120" w:before="120"/>
        <w:ind/>
        <w:rPr/>
      </w:pPr>
      <w:r>
        <w:t xml:space="preserve">Bitcoin Settlement Layer</w:t>
      </w:r>
      <w:r/>
    </w:p>
    <w:p>
      <w:pPr>
        <w:pStyle w:val="713"/>
        <w:numPr>
          <w:ilvl w:val="0"/>
          <w:numId w:val="15"/>
        </w:numPr>
        <w:pBdr/>
        <w:spacing w:after="120" w:before="120"/>
        <w:ind/>
        <w:rPr/>
      </w:pPr>
      <w:r>
        <w:t xml:space="preserve">Solana Verification Layer</w:t>
      </w:r>
      <w:r/>
    </w:p>
    <w:p>
      <w:pPr>
        <w:pStyle w:val="713"/>
        <w:numPr>
          <w:ilvl w:val="0"/>
          <w:numId w:val="15"/>
        </w:numPr>
        <w:pBdr/>
        <w:spacing w:after="120" w:before="120"/>
        <w:ind/>
        <w:rPr/>
      </w:pPr>
      <w:r>
        <w:t xml:space="preserve">Mowsie Monetary Fabric</w:t>
      </w:r>
      <w:r/>
    </w:p>
    <w:p>
      <w:pPr>
        <w:pStyle w:val="693"/>
        <w:pBdr/>
        <w:spacing/>
        <w:ind/>
        <w:rPr/>
      </w:pPr>
      <w:r>
        <w:t xml:space="preserve">5.1 Bitcoin Settlement Layer</w:t>
      </w:r>
      <w:r/>
    </w:p>
    <w:p>
      <w:pPr>
        <w:pBdr/>
        <w:spacing w:after="120" w:before="120"/>
        <w:ind/>
        <w:rPr/>
      </w:pPr>
      <w:r>
        <w:t xml:space="preserve">All value originates as native BTC deposited into a vault on the Bitcoin blockchain. Bitcoin secures the long‑term store of value. Mowsie does not create synthetic assets or wrapped tokens.</w:t>
      </w:r>
      <w:r/>
    </w:p>
    <w:p>
      <w:pPr>
        <w:pStyle w:val="693"/>
        <w:pBdr/>
        <w:spacing/>
        <w:ind/>
        <w:rPr/>
      </w:pPr>
      <w:r>
        <w:t xml:space="preserve">5.2 Solana Verification Layer</w:t>
      </w:r>
      <w:r/>
    </w:p>
    <w:p>
      <w:pPr>
        <w:pBdr/>
        <w:spacing w:after="120" w:before="120"/>
        <w:ind/>
        <w:rPr/>
      </w:pPr>
      <w:r>
        <w:t xml:space="preserve">Solana verifies z</w:t>
      </w:r>
      <w:r>
        <w:t xml:space="preserve">ero‑knowledge proofs and stores the current state root. It does not hold funds or execute arbitrary application logic. It simply enforces correctness of each state transition. Solana does not act as a persistent state store beyond the single evolving root.</w:t>
      </w:r>
      <w:r/>
    </w:p>
    <w:p>
      <w:pPr>
        <w:pStyle w:val="693"/>
        <w:pBdr/>
        <w:spacing/>
        <w:ind/>
        <w:rPr/>
      </w:pPr>
      <w:r>
        <w:t xml:space="preserve">5.3 Mowsie Monetary Fabric</w:t>
      </w:r>
      <w:r/>
    </w:p>
    <w:p>
      <w:pPr>
        <w:pBdr/>
        <w:spacing w:after="120" w:before="120"/>
        <w:ind/>
        <w:rPr/>
      </w:pPr>
      <w:r>
        <w:t xml:space="preserve">Inside the fabric, value exists only as commitments. Users hold secrets locally. The system holds only a single Merkle root representing the live commitments. No history, no addresses, no transactions.</w:t>
      </w:r>
      <w:r/>
    </w:p>
    <w:p>
      <w:pPr>
        <w:pStyle w:val="693"/>
        <w:pBdr/>
        <w:spacing/>
        <w:ind/>
        <w:rPr/>
      </w:pPr>
      <w:r>
        <w:t xml:space="preserve">6. Stateless Value Commitments</w:t>
      </w:r>
      <w:r/>
    </w:p>
    <w:p>
      <w:pPr>
        <w:pBdr/>
        <w:spacing w:after="120" w:before="120"/>
        <w:ind/>
        <w:rPr/>
      </w:pPr>
      <w:r>
        <w:rPr>
          <w:i/>
          <w:iCs/>
        </w:rPr>
        <w:t xml:space="preserve">C</w:t>
      </w:r>
      <w:r>
        <w:t xml:space="preserve"> = Commit(</w:t>
      </w:r>
      <w:r>
        <w:rPr>
          <w:i/>
          <w:iCs/>
        </w:rPr>
        <w:t xml:space="preserve">sk</w:t>
      </w:r>
      <w:r>
        <w:t xml:space="preserve">, </w:t>
      </w:r>
      <w:r>
        <w:rPr>
          <w:i/>
          <w:iCs/>
        </w:rPr>
        <w:t xml:space="preserve">r</w:t>
      </w:r>
      <w:r>
        <w:t xml:space="preserve">, </w:t>
      </w:r>
      <w:r>
        <w:rPr>
          <w:i/>
          <w:iCs/>
        </w:rPr>
        <w:t xml:space="preserve">B</w:t>
      </w:r>
      <w:r>
        <w:t xml:space="preserve">)</w:t>
      </w:r>
      <w:r/>
    </w:p>
    <w:p>
      <w:pPr>
        <w:pBdr/>
        <w:spacing w:after="120" w:before="120"/>
        <w:ind/>
        <w:rPr/>
      </w:pPr>
      <w:r>
        <w:rPr>
          <w:i/>
          <w:iCs/>
        </w:rPr>
        <w:t xml:space="preserve">sk</w:t>
      </w:r>
      <w:r>
        <w:t xml:space="preserve">: secret key</w:t>
        <w:br/>
      </w:r>
      <w:r>
        <w:rPr>
          <w:i/>
          <w:iCs/>
        </w:rPr>
        <w:t xml:space="preserve">r</w:t>
      </w:r>
      <w:r>
        <w:t xml:space="preserve">: randomness</w:t>
        <w:br/>
      </w:r>
      <w:r>
        <w:rPr>
          <w:i/>
          <w:iCs/>
        </w:rPr>
        <w:t xml:space="preserve">B</w:t>
      </w:r>
      <w:r>
        <w:t xml:space="preserve">: balance</w:t>
      </w:r>
      <w:r/>
    </w:p>
    <w:p>
      <w:pPr>
        <w:pBdr/>
        <w:spacing w:after="120" w:before="120"/>
        <w:ind/>
        <w:rPr/>
      </w:pPr>
      <w:r>
        <w:t xml:space="preserve">Users generate proofs showing knowledge of a commitment included in the state, authorize updates, and mint new commitments. The old commitments burn and the state root updates. Nothing persists.</w:t>
      </w:r>
      <w:r/>
    </w:p>
    <w:p>
      <w:pPr>
        <w:pStyle w:val="693"/>
        <w:pBdr/>
        <w:spacing/>
        <w:ind/>
        <w:rPr/>
      </w:pPr>
      <w:r>
        <w:t xml:space="preserve">7. Proving System and Fixed Circuits</w:t>
      </w:r>
      <w:r/>
    </w:p>
    <w:p>
      <w:pPr>
        <w:pBdr/>
        <w:spacing w:after="120" w:before="120"/>
        <w:ind/>
        <w:rPr/>
      </w:pPr>
      <w:r>
        <w:t xml:space="preserve">Mowsie uses a minimal fixed circuit responsible only for commitment hashing, Merkle verification, authorization, balance updates, and conservation. No VM, no scripting, no transaction format. The attack surface is extremely small and easy to audit.</w:t>
      </w:r>
      <w:r/>
    </w:p>
    <w:p>
      <w:pPr>
        <w:pStyle w:val="693"/>
        <w:pBdr/>
        <w:spacing/>
        <w:ind/>
        <w:rPr/>
      </w:pPr>
      <w:r>
        <w:t xml:space="preserve">8. Threat Model</w:t>
      </w:r>
      <w:r/>
    </w:p>
    <w:p>
      <w:pPr>
        <w:pBdr/>
        <w:spacing w:after="120" w:before="120"/>
        <w:ind/>
        <w:rPr/>
      </w:pPr>
      <w:r>
        <w:t xml:space="preserve">Mowsie maintains security by minimizing state, minimizing assumptions, and minimizing the attack surface. The system’s stateless design removes entire </w:t>
      </w:r>
      <w:r>
        <w:t xml:space="preserve">classes of attacks present in ledger-based systems but introduces unique considerations around proof verification and root evolution. This section outlines the threats Mowsie defends against, the assumptions it relies upon, and the boundaries of the model.</w:t>
      </w:r>
      <w:r/>
    </w:p>
    <w:p>
      <w:pPr>
        <w:pStyle w:val="693"/>
        <w:pBdr/>
        <w:spacing/>
        <w:ind/>
        <w:rPr>
          <w:color w:val="4f81bd" w:themeColor="accent1"/>
          <w:sz w:val="24"/>
          <w:szCs w:val="24"/>
        </w:rPr>
      </w:pPr>
      <w:r>
        <w:rPr>
          <w:color w:val="4f81bd" w:themeColor="accent1"/>
          <w:sz w:val="24"/>
          <w:szCs w:val="24"/>
        </w:rPr>
        <w:t xml:space="preserve">8.1 Assumptions</w:t>
      </w:r>
      <w:r>
        <w:rPr>
          <w:color w:val="4f81bd" w:themeColor="accent1"/>
          <w:sz w:val="24"/>
          <w:szCs w:val="24"/>
        </w:rPr>
      </w:r>
    </w:p>
    <w:p>
      <w:pPr>
        <w:pStyle w:val="713"/>
        <w:numPr>
          <w:ilvl w:val="0"/>
          <w:numId w:val="16"/>
        </w:numPr>
        <w:pBdr/>
        <w:spacing w:after="120" w:before="120"/>
        <w:ind/>
        <w:rPr/>
      </w:pPr>
      <w:r>
        <w:t xml:space="preserve">Bitcoin is secure as a long-term settlement layer.</w:t>
        <w:br/>
        <w:t xml:space="preserve">The vault UTXO pool inherits Bitcoin’s consensus security and immutability.</w:t>
      </w:r>
      <w:r/>
    </w:p>
    <w:p>
      <w:pPr>
        <w:pStyle w:val="713"/>
        <w:numPr>
          <w:ilvl w:val="0"/>
          <w:numId w:val="16"/>
        </w:numPr>
        <w:pBdr/>
        <w:spacing w:after="120" w:before="120"/>
        <w:ind/>
        <w:rPr/>
      </w:pPr>
      <w:r>
        <w:t xml:space="preserve">Solana continues to provide a high-throughput, censorship-resistant proof-verification environment.</w:t>
        <w:br/>
        <w:t xml:space="preserve">Solana does NOT store value, execute user logic, or hold balances; it only enforces correctness of zero-knowledge proofs.</w:t>
      </w:r>
      <w:r/>
    </w:p>
    <w:p>
      <w:pPr>
        <w:pStyle w:val="713"/>
        <w:numPr>
          <w:ilvl w:val="0"/>
          <w:numId w:val="16"/>
        </w:numPr>
        <w:pBdr/>
        <w:spacing w:after="120" w:before="120"/>
        <w:ind/>
        <w:rPr/>
      </w:pPr>
      <w:r>
        <w:t xml:space="preserve">The proving system is sound.</w:t>
        <w:br/>
        <w:t xml:space="preserve">Zero-knowledge proofs correctly enforce commitment validity, balance conservation, and authorization rules.</w:t>
      </w:r>
      <w:r/>
    </w:p>
    <w:p>
      <w:pPr>
        <w:pStyle w:val="713"/>
        <w:numPr>
          <w:ilvl w:val="0"/>
          <w:numId w:val="16"/>
        </w:numPr>
        <w:pBdr/>
        <w:spacing w:after="120" w:before="120"/>
        <w:ind/>
        <w:rPr/>
      </w:pPr>
      <w:r>
        <w:t xml:space="preserve">Users manage their secrets securely.</w:t>
        <w:br/>
        <w:t xml:space="preserve">Loss of a secret means loss of control over its commitment — as with any cryptographic money system.</w:t>
      </w:r>
      <w:r/>
    </w:p>
    <w:p>
      <w:pPr>
        <w:pBdr/>
        <w:spacing w:after="120" w:before="120"/>
        <w:ind/>
        <w:rPr/>
      </w:pPr>
      <w:r>
        <w:t xml:space="preserve">These are the minimal assumptions required for a stateless monetary fabric.</w:t>
      </w:r>
      <w:r/>
    </w:p>
    <w:p>
      <w:pPr>
        <w:pStyle w:val="693"/>
        <w:pBdr/>
        <w:spacing/>
        <w:ind/>
        <w:rPr>
          <w:color w:val="4f81bd" w:themeColor="accent1"/>
          <w:sz w:val="24"/>
          <w:szCs w:val="24"/>
        </w:rPr>
      </w:pPr>
      <w:r>
        <w:rPr>
          <w:color w:val="4f81bd" w:themeColor="accent1"/>
          <w:sz w:val="24"/>
          <w:szCs w:val="24"/>
        </w:rPr>
        <w:t xml:space="preserve">8.2 Threats Removed by Statelessness</w:t>
      </w:r>
      <w:r>
        <w:rPr>
          <w:color w:val="4f81bd" w:themeColor="accent1"/>
          <w:sz w:val="24"/>
          <w:szCs w:val="24"/>
        </w:rPr>
      </w:r>
    </w:p>
    <w:p>
      <w:pPr>
        <w:pBdr/>
        <w:spacing w:after="120" w:before="120"/>
        <w:ind/>
        <w:rPr/>
      </w:pPr>
      <w:r>
        <w:t xml:space="preserve">The following classes of attacks do not exist in Mowsie due to the absence of ledger state, addresses, or history:</w:t>
      </w:r>
      <w:r/>
    </w:p>
    <w:p>
      <w:pPr>
        <w:pBdr/>
        <w:spacing w:after="120" w:before="120"/>
        <w:ind/>
        <w:rPr/>
      </w:pPr>
      <w:r>
        <w:rPr>
          <w:b/>
          <w:bCs/>
        </w:rPr>
        <w:t xml:space="preserve">Transaction graph analysis</w:t>
      </w:r>
      <w:r>
        <w:br/>
        <w:t xml:space="preserve">No transaction graph exists.</w:t>
      </w:r>
      <w:r/>
    </w:p>
    <w:p>
      <w:pPr>
        <w:pBdr/>
        <w:spacing w:after="120" w:before="120"/>
        <w:ind/>
        <w:rPr/>
      </w:pPr>
      <w:r>
        <w:rPr>
          <w:b/>
          <w:bCs/>
        </w:rPr>
        <w:t xml:space="preserve">Address clustering</w:t>
      </w:r>
      <w:r>
        <w:br/>
        <w:t xml:space="preserve">Mowsie has no addresses.</w:t>
      </w:r>
      <w:r/>
    </w:p>
    <w:p>
      <w:pPr>
        <w:pBdr/>
        <w:spacing w:after="120" w:before="120"/>
        <w:ind/>
        <w:rPr/>
      </w:pPr>
      <w:r>
        <w:rPr>
          <w:b/>
          <w:bCs/>
        </w:rPr>
        <w:t xml:space="preserve">Temporal correlation or mempool surveillance</w:t>
      </w:r>
      <w:r>
        <w:br/>
        <w:t xml:space="preserve">Internal blinks have no timestamps or mempool presence.</w:t>
      </w:r>
      <w:r/>
    </w:p>
    <w:p>
      <w:pPr>
        <w:pBdr/>
        <w:spacing w:after="120" w:before="120"/>
        <w:ind/>
        <w:rPr/>
      </w:pPr>
      <w:r>
        <w:rPr>
          <w:b/>
          <w:bCs/>
        </w:rPr>
        <w:t xml:space="preserve">State-bloat or history-rewriting attacks</w:t>
      </w:r>
      <w:r>
        <w:br/>
        <w:t xml:space="preserve">Mowsie stores a single Merkle root; there is no ledger to rewrite.</w:t>
      </w:r>
      <w:r/>
    </w:p>
    <w:p>
      <w:pPr>
        <w:pBdr/>
        <w:spacing w:after="120" w:before="120"/>
        <w:ind/>
        <w:rPr/>
      </w:pPr>
      <w:r>
        <w:rPr>
          <w:b/>
          <w:bCs/>
        </w:rPr>
        <w:t xml:space="preserve">Replay attacks</w:t>
      </w:r>
      <w:r>
        <w:br/>
        <w:t xml:space="preserve">Commitments burn immediately after use; nothing can be replayed.</w:t>
      </w:r>
      <w:r/>
    </w:p>
    <w:p>
      <w:pPr>
        <w:pBdr/>
        <w:spacing w:after="120" w:before="120"/>
        <w:ind/>
        <w:rPr/>
      </w:pPr>
      <w:r>
        <w:rPr>
          <w:b/>
          <w:bCs/>
        </w:rPr>
        <w:t xml:space="preserve">Front-running or MEV extraction</w:t>
      </w:r>
      <w:r>
        <w:br/>
        <w:t xml:space="preserve">There are no transactions, ordering keys, or mempools to exploit.</w:t>
      </w:r>
      <w:r/>
    </w:p>
    <w:p>
      <w:pPr>
        <w:pBdr/>
        <w:spacing w:after="120" w:before="120"/>
        <w:ind/>
        <w:rPr/>
      </w:pPr>
      <w:r>
        <w:t xml:space="preserve">Statelessness dramatically reduces the attack surface.</w:t>
      </w:r>
      <w:r/>
    </w:p>
    <w:p>
      <w:pPr>
        <w:pStyle w:val="693"/>
        <w:pBdr/>
        <w:spacing/>
        <w:ind/>
        <w:rPr>
          <w:color w:val="4f81bd" w:themeColor="accent1"/>
          <w:sz w:val="24"/>
          <w:szCs w:val="24"/>
        </w:rPr>
      </w:pPr>
      <w:r>
        <w:rPr>
          <w:color w:val="4f81bd" w:themeColor="accent1"/>
          <w:sz w:val="24"/>
          <w:szCs w:val="24"/>
        </w:rPr>
        <w:t xml:space="preserve">8.3 Threats Mitigated by Construction</w:t>
      </w:r>
      <w:r>
        <w:rPr>
          <w:color w:val="4f81bd" w:themeColor="accent1"/>
          <w:sz w:val="24"/>
          <w:szCs w:val="24"/>
        </w:rPr>
      </w:r>
    </w:p>
    <w:p>
      <w:pPr>
        <w:pBdr/>
        <w:spacing w:after="120" w:before="120"/>
        <w:ind/>
        <w:rPr/>
      </w:pPr>
      <w:r>
        <w:t xml:space="preserve">Mowsie includes built-in safeguards against attacks that DO apply to stateless systems:</w:t>
      </w:r>
      <w:r/>
    </w:p>
    <w:p>
      <w:pPr>
        <w:pBdr/>
        <w:spacing w:after="120" w:before="120"/>
        <w:ind/>
        <w:rPr/>
      </w:pPr>
      <w:r>
        <w:rPr>
          <w:b/>
          <w:bCs/>
        </w:rPr>
        <w:t xml:space="preserve">Fake-balance creation via invalid proofs</w:t>
      </w:r>
      <w:r>
        <w:br/>
        <w:t xml:space="preserve">Prevented by Solana-verified zero-knowledge proofs enforcing non-negativity and balance conservation.</w:t>
      </w:r>
      <w:r/>
    </w:p>
    <w:p>
      <w:pPr>
        <w:pBdr/>
        <w:spacing w:after="120" w:before="120"/>
        <w:ind/>
        <w:rPr/>
      </w:pPr>
      <w:r>
        <w:rPr>
          <w:b/>
          <w:bCs/>
        </w:rPr>
        <w:t xml:space="preserve">State-root corruption</w:t>
      </w:r>
      <w:r>
        <w:br/>
        <w:t xml:space="preserve">Only proofs accepted by the on-chain verifier can update the root. Invalid transitions cannot be appended.</w:t>
      </w:r>
      <w:r/>
    </w:p>
    <w:p>
      <w:pPr>
        <w:pBdr/>
        <w:spacing w:after="120" w:before="120"/>
        <w:ind/>
        <w:rPr/>
      </w:pPr>
      <w:r>
        <w:rPr>
          <w:b/>
          <w:bCs/>
        </w:rPr>
        <w:t xml:space="preserve">Commitment forgery</w:t>
      </w:r>
      <w:r>
        <w:br/>
        <w:t xml:space="preserve">Commitments require knowledge of the secret key and randomness and must pass Merkle inclusion checks.</w:t>
      </w:r>
      <w:r/>
    </w:p>
    <w:p>
      <w:pPr>
        <w:pBdr/>
        <w:spacing w:after="120" w:before="120"/>
        <w:ind/>
        <w:rPr/>
      </w:pPr>
      <w:r>
        <w:rPr>
          <w:b/>
          <w:bCs/>
        </w:rPr>
        <w:t xml:space="preserve">Infinite-mint attacks</w:t>
      </w:r>
      <w:r>
        <w:br/>
        <w:t xml:space="preserve">The mint-burn cycle is mathematically limited by the conservation equation; see Equation (1).</w:t>
      </w:r>
      <w:r/>
    </w:p>
    <w:p>
      <w:pPr>
        <w:pBdr/>
        <w:spacing w:after="120" w:before="120"/>
        <w:ind/>
        <w:rPr/>
      </w:pPr>
      <w:r>
        <w:t xml:space="preserve">No commitment can create new value without burning an equal amount of old value.</w:t>
      </w:r>
      <w:r/>
    </w:p>
    <w:p>
      <w:pPr>
        <w:pStyle w:val="694"/>
        <w:pBdr/>
        <w:spacing/>
        <w:ind/>
        <w:rPr/>
      </w:pPr>
      <w:r>
        <w:t xml:space="preserve">8.3.1 Sybil &amp; Wallet-Spam Mitigation</w:t>
      </w:r>
      <w:r/>
    </w:p>
    <w:p>
      <w:pPr>
        <w:pBdr/>
        <w:spacing w:after="120" w:before="120"/>
        <w:ind/>
        <w:rPr/>
      </w:pPr>
      <w:r>
        <w:t xml:space="preserve">Mowsie limits the feasibility of Sybil attacks and infinite-walle</w:t>
      </w:r>
      <w:r>
        <w:t xml:space="preserve">t spam through enforced economic activation. A wallet cannot become active until it consumes a real crumb (1 sat), and a name cannot be bound until activation occurs. Attempting to create large numbers of identities therefore requires linear economic cost.</w:t>
      </w:r>
      <w:r/>
    </w:p>
    <w:p>
      <w:pPr>
        <w:pBdr/>
        <w:spacing w:after="120" w:before="120"/>
        <w:ind/>
        <w:rPr/>
      </w:pPr>
      <w:r>
        <w:t xml:space="preserve">Activated wallets must also</w:t>
      </w:r>
      <w:r>
        <w:t xml:space="preserve"> consume crumbs to obtain blink capacity, preventing bulk creation of wallets capable of submitting large volumes of internal actions. Because blink credits cannot be traded, pooled, or transferred, each wallet must be funded independently by the attacker.</w:t>
      </w:r>
      <w:r/>
    </w:p>
    <w:p>
      <w:pPr>
        <w:pBdr/>
        <w:spacing w:after="120" w:before="120"/>
        <w:ind/>
        <w:rPr/>
      </w:pPr>
      <w:r>
        <w:t xml:space="preserve">The protocol stores no ledger, no account list, and no persistent identities, so inactive wallets never pollute global state. Only economically activated wallets enter the operational set, and activation is inherently self-limiting.</w:t>
      </w:r>
      <w:r/>
    </w:p>
    <w:p>
      <w:pPr>
        <w:pBdr/>
        <w:spacing w:after="120" w:before="120"/>
        <w:ind/>
        <w:rPr/>
      </w:pPr>
      <w:r>
        <w:t xml:space="preserve">Sybil attempts scale linearly in cost for the attacker, while verification load scales minimally</w:t>
      </w:r>
      <w:r/>
    </w:p>
    <w:p>
      <w:pPr>
        <w:pBdr/>
        <w:spacing w:after="120" w:before="120"/>
        <w:ind/>
        <w:rPr/>
      </w:pPr>
      <w:r>
        <w:t xml:space="preserve">for the protocol. This makes wallet-spam economically irrational and closes the only meaningful identity-based DoS vector without introducing permissioned controls.</w:t>
      </w:r>
      <w:r/>
    </w:p>
    <w:p>
      <w:pPr>
        <w:pStyle w:val="693"/>
        <w:pBdr/>
        <w:spacing/>
        <w:ind/>
        <w:rPr>
          <w:color w:val="4f81bd" w:themeColor="accent1"/>
          <w:sz w:val="24"/>
          <w:szCs w:val="24"/>
        </w:rPr>
      </w:pPr>
      <w:r>
        <w:rPr>
          <w:color w:val="4f81bd" w:themeColor="accent1"/>
          <w:sz w:val="24"/>
          <w:szCs w:val="24"/>
        </w:rPr>
        <w:t xml:space="preserve">8.4 Threats Remaining Out of Scope</w:t>
      </w:r>
      <w:r>
        <w:rPr>
          <w:color w:val="4f81bd" w:themeColor="accent1"/>
          <w:sz w:val="24"/>
          <w:szCs w:val="24"/>
        </w:rPr>
      </w:r>
    </w:p>
    <w:p>
      <w:pPr>
        <w:pBdr/>
        <w:spacing w:after="120" w:before="120"/>
        <w:ind/>
        <w:rPr/>
      </w:pPr>
      <w:r>
        <w:t xml:space="preserve">The following classes of threats are outside the scope of Mowsie’s trust model:</w:t>
      </w:r>
      <w:r/>
    </w:p>
    <w:p>
      <w:pPr>
        <w:pBdr/>
        <w:spacing w:after="120" w:before="120"/>
        <w:ind/>
        <w:rPr/>
      </w:pPr>
      <w:r>
        <w:rPr>
          <w:b/>
          <w:bCs/>
        </w:rPr>
        <w:t xml:space="preserve">Compromised user devices or malware</w:t>
      </w:r>
      <w:r>
        <w:br/>
        <w:t xml:space="preserve">If a device leaks secrets, an attacker may authorize transitions.</w:t>
      </w:r>
      <w:r/>
    </w:p>
    <w:p>
      <w:pPr>
        <w:pBdr/>
        <w:spacing w:after="120" w:before="120"/>
        <w:ind/>
        <w:rPr/>
      </w:pPr>
      <w:r>
        <w:rPr>
          <w:b/>
          <w:bCs/>
        </w:rPr>
        <w:t xml:space="preserve">Coercion or social engineering</w:t>
      </w:r>
      <w:r>
        <w:br/>
        <w:t xml:space="preserve">Mowsie cannot protect against users being forced to reveal secrets.</w:t>
      </w:r>
      <w:r/>
    </w:p>
    <w:p>
      <w:pPr>
        <w:pBdr/>
        <w:spacing w:after="120" w:before="120"/>
        <w:ind/>
        <w:rPr/>
      </w:pPr>
      <w:r>
        <w:rPr>
          <w:b/>
          <w:bCs/>
        </w:rPr>
        <w:t xml:space="preserve">Bitcoin L1 compromise</w:t>
      </w:r>
      <w:r>
        <w:br/>
        <w:t xml:space="preserve">If Bitcoin consensus is captured or its cryptographic primitives fail, the vault is vulnerable.</w:t>
      </w:r>
      <w:r/>
    </w:p>
    <w:p>
      <w:pPr>
        <w:pBdr/>
        <w:spacing w:after="120" w:before="120"/>
        <w:ind/>
        <w:rPr/>
      </w:pPr>
      <w:r>
        <w:rPr>
          <w:b/>
          <w:bCs/>
        </w:rPr>
        <w:t xml:space="preserve">Solana halting or long-duration network partitions</w:t>
      </w:r>
      <w:r>
        <w:br/>
        <w:t xml:space="preserve">Users may be unable to submit proofs, but no value can be stolen.</w:t>
      </w:r>
      <w:r/>
    </w:p>
    <w:p>
      <w:pPr>
        <w:pBdr/>
        <w:spacing w:after="120" w:before="120"/>
        <w:ind/>
        <w:rPr/>
      </w:pPr>
      <w:r>
        <w:rPr>
          <w:b/>
          <w:bCs/>
        </w:rPr>
        <w:t xml:space="preserve">Cryptographic failures of primitives (hashes, curves, circuits)</w:t>
      </w:r>
      <w:r>
        <w:br/>
        <w:t xml:space="preserve">As with any ZK system, the breaking of a primitive is catastrophic.</w:t>
      </w:r>
      <w:r/>
    </w:p>
    <w:p>
      <w:pPr>
        <w:pBdr/>
        <w:spacing w:after="120" w:before="120"/>
        <w:ind/>
        <w:rPr/>
      </w:pPr>
      <w:r>
        <w:t xml:space="preserve">These risks are common across all systems built on cryptographic commitments.</w:t>
      </w:r>
      <w:r/>
    </w:p>
    <w:p>
      <w:pPr>
        <w:pStyle w:val="693"/>
        <w:pBdr/>
        <w:spacing/>
        <w:ind/>
        <w:rPr>
          <w:color w:val="4f81bd" w:themeColor="accent1"/>
          <w:sz w:val="24"/>
          <w:szCs w:val="24"/>
        </w:rPr>
      </w:pPr>
      <w:r>
        <w:rPr>
          <w:color w:val="4f81bd" w:themeColor="accent1"/>
          <w:sz w:val="24"/>
          <w:szCs w:val="24"/>
        </w:rPr>
        <w:t xml:space="preserve">8.5 Summary</w:t>
      </w:r>
      <w:r>
        <w:rPr>
          <w:color w:val="4f81bd" w:themeColor="accent1"/>
          <w:sz w:val="24"/>
          <w:szCs w:val="24"/>
        </w:rPr>
      </w:r>
    </w:p>
    <w:p>
      <w:pPr>
        <w:pBdr/>
        <w:spacing w:after="120" w:before="120"/>
        <w:ind/>
        <w:rPr/>
      </w:pPr>
      <w:r>
        <w:t xml:space="preserve">Mowsie’s primary defense is radical minimization: no transaction history, no ledger, no addresses, no persistent objects, and no scriptable state. </w:t>
      </w:r>
      <w:r>
        <w:t xml:space="preserve">The system’s security reduces to the soundness of its proofs and the correctness of the single state-root transition. This minimal state model eliminates entire categories of attack while keeping the remaining threats well-bounded and easy to reason about.</w:t>
      </w:r>
      <w:r/>
    </w:p>
    <w:p>
      <w:pPr>
        <w:pStyle w:val="693"/>
        <w:pBdr/>
        <w:spacing/>
        <w:ind/>
        <w:rPr/>
      </w:pPr>
      <w:r>
        <w:t xml:space="preserve">9. Deposits and Withdrawals</w:t>
      </w:r>
      <w:r/>
    </w:p>
    <w:p>
      <w:pPr>
        <w:pBdr/>
        <w:spacing w:after="120" w:before="120"/>
        <w:ind/>
        <w:rPr/>
      </w:pPr>
      <w:r>
        <w:t xml:space="preserve">Deposits occur on Bitcoin and settle according to Bitcoin’s normal confirmation schedule. Once the deposit transaction receives a BTC confirmation, the protocol mints a corresponding commitment inside the fabric. This commitment becomes spendable</w:t>
      </w:r>
      <w:r>
        <w:t xml:space="preserve"> immediately within Mowsie’s stateless environment. Withdrawals destroy an internal commitment and create a native Bitcoin transaction that pays the user. The internal blink is instant, but the Bitcoin payout settles on Bitcoin’s timeline. No internal hist</w:t>
      </w:r>
      <w:r>
        <w:t xml:space="preserve">ory is recorded; only Bitcoin’s L1 history reflects the withdrawal. Internal blinks require blink credits derived from consumed crumbs; deposits and withdrawals do not. Crumbs power only the internal stateless transitions, not the Bitcoin settlement layer.</w:t>
      </w:r>
      <w:r/>
    </w:p>
    <w:p>
      <w:pPr>
        <w:pStyle w:val="693"/>
        <w:pBdr/>
        <w:spacing/>
        <w:ind/>
        <w:rPr/>
      </w:pPr>
      <w:r>
        <w:t xml:space="preserve">10. Privacy Properties</w:t>
      </w:r>
      <w:r/>
    </w:p>
    <w:p>
      <w:pPr>
        <w:pBdr/>
        <w:spacing w:after="120" w:before="120"/>
        <w:ind/>
        <w:rPr/>
      </w:pPr>
      <w:r>
        <w:t xml:space="preserve">Mowsie provides privacy by structural absence. No ledger, no transaction graph, no mempool, no addresses. Only the current root exists. Deposits and withdrawals cannot be linked. Internal value blinks leave no trace.</w:t>
      </w:r>
      <w:r/>
    </w:p>
    <w:p>
      <w:pPr>
        <w:pStyle w:val="693"/>
        <w:pBdr/>
        <w:spacing/>
        <w:ind/>
        <w:rPr/>
      </w:pPr>
      <w:r>
        <w:t xml:space="preserve">11. Open Source Philosophy</w:t>
      </w:r>
      <w:r/>
    </w:p>
    <w:p>
      <w:pPr>
        <w:pBdr/>
        <w:spacing w:after="120" w:before="120"/>
        <w:ind/>
        <w:rPr/>
      </w:pPr>
      <w:r>
        <w:t xml:space="preserve">Mowsie must be open‑source. The protocol’s desi</w:t>
      </w:r>
      <w:r>
        <w:t xml:space="preserve">gn—minimal circuits, stateless transitions, and instant burns—relies on transparency as a security guarantee. With no ledger to audit, the correctness of the system depends entirely on public inspection of the circuits, hash logic, commitment scheme, and o</w:t>
      </w:r>
      <w:r>
        <w:t xml:space="preserve">n‑chain verifier. A closed implementation would contradict the fabric’s core principle: nothing persists except mathematical truth. Open code ensures every user, auditor, and researcher can validate the system without trusting any developer or institution.</w:t>
      </w:r>
      <w:r/>
    </w:p>
    <w:p>
      <w:pPr>
        <w:pStyle w:val="693"/>
        <w:pBdr/>
        <w:spacing/>
        <w:ind/>
        <w:rPr/>
      </w:pPr>
      <w:r>
        <w:t xml:space="preserve">12. Conclusion</w:t>
      </w:r>
      <w:r/>
    </w:p>
    <w:p>
      <w:pPr>
        <w:pBdr/>
        <w:spacing w:after="120" w:before="120"/>
        <w:ind/>
        <w:rPr/>
      </w:pPr>
      <w:r>
        <w:t xml:space="preserve">Mowsie introduces a new monetary primitive: a stateless fabric where Bitcoin flows without history. The infinite‑mint, instant‑burn engine removes persistence, elim</w:t>
      </w:r>
      <w:r>
        <w:t xml:space="preserve">inates graphs, and achieves pure velocity while relying on Bitcoin for long‑term value. Value inside the fabric becomes microsecond money—existing only long enough to move. The design is simple, verifiable, and naturally suited for open‑source development.</w:t>
      </w:r>
      <w:r/>
    </w:p>
    <w:p>
      <w:pPr>
        <w:pBdr/>
        <w:spacing w:after="120" w:before="120"/>
        <w:ind/>
        <w:rPr/>
      </w:pPr>
      <w:r>
        <w:rPr>
          <w:highlight w:val="none"/>
        </w:rPr>
      </w:r>
      <w:r>
        <w:rPr>
          <w:highlight w:val="none"/>
        </w:rPr>
      </w:r>
      <w:r>
        <w:rPr>
          <w:highlight w:val="none"/>
        </w:rPr>
      </w:r>
    </w:p>
    <w:sectPr>
      <w:footnotePr/>
      <w:endnotePr/>
      <w:type w:val="nextPage"/>
      <w:pgSz w:h="15840" w:orient="portrait" w:w="12240"/>
      <w:pgMar w:top="1440" w:right="1800" w:bottom="1440" w:left="180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mbria Math">
    <w:panose1 w:val="02000603000000000000"/>
  </w:font>
  <w:font w:name="Times New Roman">
    <w:panose1 w:val="02020603050405020304"/>
  </w:font>
  <w:font w:name="Calibri">
    <w:panose1 w:val="020F0502020204030204"/>
  </w:font>
  <w:font w:name="Wingdings">
    <w:panose1 w:val="05010000000000000000"/>
  </w:font>
  <w:font w:name="Courier New">
    <w:panose1 w:val="02070409020205020404"/>
  </w:font>
  <w:font w:name="Symbol">
    <w:panose1 w:val="05010000000000000000"/>
  </w:font>
  <w:font w:name="Courier">
    <w:panose1 w:val="05040102010807070707"/>
  </w:font>
  <w:font w:name="Arial">
    <w:panose1 w:val="020B060402020202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lvl w:ilvl="0">
      <w:isLgl w:val="false"/>
      <w:lvlJc w:val="left"/>
      <w:lvlText w:val="%1."/>
      <w:numFmt w:val="decimal"/>
      <w:pPr>
        <w:pBdr/>
        <w:tabs>
          <w:tab w:val="num" w:leader="none" w:pos="1800"/>
        </w:tabs>
        <w:spacing/>
        <w:ind w:hanging="360" w:left="180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FFFFFF7D"/>
    <w:lvl w:ilvl="0">
      <w:isLgl w:val="false"/>
      <w:lvlJc w:val="left"/>
      <w:lvlText w:val="%1."/>
      <w:numFmt w:val="decimal"/>
      <w:pPr>
        <w:pBdr/>
        <w:tabs>
          <w:tab w:val="num" w:leader="none" w:pos="1440"/>
        </w:tabs>
        <w:spacing/>
        <w:ind w:hanging="360" w:left="144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7E"/>
    <w:lvl w:ilvl="0">
      <w:isLgl w:val="false"/>
      <w:lvlJc w:val="left"/>
      <w:lvlText w:val="%1."/>
      <w:numFmt w:val="decimal"/>
      <w:pPr>
        <w:pBdr/>
        <w:tabs>
          <w:tab w:val="num" w:leader="none" w:pos="1080"/>
        </w:tabs>
        <w:spacing/>
        <w:ind w:hanging="360" w:left="1080"/>
      </w:pPr>
      <w:pStyle w:val="728"/>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FFFFFF7F"/>
    <w:lvl w:ilvl="0">
      <w:isLgl w:val="false"/>
      <w:lvlJc w:val="left"/>
      <w:lvlText w:val="%1."/>
      <w:numFmt w:val="decimal"/>
      <w:pPr>
        <w:pBdr/>
        <w:tabs>
          <w:tab w:val="num" w:leader="none" w:pos="720"/>
        </w:tabs>
        <w:spacing/>
        <w:ind w:hanging="360" w:left="720"/>
      </w:pPr>
      <w:pStyle w:val="727"/>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FFFFFF81"/>
    <w:lvl w:ilvl="0">
      <w:isLgl w:val="false"/>
      <w:lvlJc w:val="left"/>
      <w:lvlText w:val=""/>
      <w:numFmt w:val="bullet"/>
      <w:pPr>
        <w:pBdr/>
        <w:tabs>
          <w:tab w:val="num" w:leader="none" w:pos="1440"/>
        </w:tabs>
        <w:spacing/>
        <w:ind w:hanging="360" w:left="14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FFFFFF82"/>
    <w:lvl w:ilvl="0">
      <w:isLgl w:val="false"/>
      <w:lvlJc w:val="left"/>
      <w:lvlText w:val=""/>
      <w:numFmt w:val="bullet"/>
      <w:pPr>
        <w:pBdr/>
        <w:tabs>
          <w:tab w:val="num" w:leader="none" w:pos="1080"/>
        </w:tabs>
        <w:spacing/>
        <w:ind w:hanging="360" w:left="1080"/>
      </w:pPr>
      <w:pStyle w:val="725"/>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FFFFFF83"/>
    <w:lvl w:ilvl="0">
      <w:isLgl w:val="false"/>
      <w:lvlJc w:val="left"/>
      <w:lvlText w:val=""/>
      <w:numFmt w:val="bullet"/>
      <w:pPr>
        <w:pBdr/>
        <w:tabs>
          <w:tab w:val="num" w:leader="none" w:pos="720"/>
        </w:tabs>
        <w:spacing/>
        <w:ind w:hanging="360" w:left="720"/>
      </w:pPr>
      <w:pStyle w:val="724"/>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FFFFFF88"/>
    <w:lvl w:ilvl="0">
      <w:isLgl w:val="false"/>
      <w:lvlJc w:val="left"/>
      <w:lvlText w:val="%1."/>
      <w:numFmt w:val="decimal"/>
      <w:pPr>
        <w:pBdr/>
        <w:tabs>
          <w:tab w:val="num" w:leader="none" w:pos="360"/>
        </w:tabs>
        <w:spacing/>
        <w:ind w:hanging="360" w:left="360"/>
      </w:pPr>
      <w:pStyle w:val="726"/>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FFFFFF89"/>
    <w:lvl w:ilvl="0">
      <w:isLgl w:val="false"/>
      <w:lvlJc w:val="left"/>
      <w:lvlText w:val=""/>
      <w:numFmt w:val="bullet"/>
      <w:pPr>
        <w:pBdr/>
        <w:tabs>
          <w:tab w:val="num" w:leader="none" w:pos="360"/>
        </w:tabs>
        <w:spacing/>
        <w:ind w:hanging="360" w:left="360"/>
      </w:pPr>
      <w:pStyle w:val="723"/>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9">
    <w:nsid w:val="7C175CB1"/>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0">
    <w:nsid w:val="2040A4DF"/>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1">
    <w:nsid w:val="5AF27E92"/>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2">
    <w:nsid w:val="5464EC5D"/>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3">
    <w:nsid w:val="6E51ADC1"/>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4">
    <w:nsid w:val="1C79FD4C"/>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5">
    <w:nsid w:val="7A996011"/>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3">
    <w:name w:val="Table Grid Light"/>
    <w:basedOn w:val="70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70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703"/>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70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70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70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703"/>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70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70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70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70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70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70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70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70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70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70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70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70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70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70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70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70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70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70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70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70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703"/>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703"/>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703"/>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703"/>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703"/>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703"/>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703"/>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703"/>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703"/>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70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a38" w:themeColor="accent2" w:themeTint="97" w:themeShade="95"/>
      </w:rPr>
      <w:pPr>
        <w:pBdr/>
        <w:spacing/>
        <w:ind/>
      </w:pPr>
      <w:tblPr>
        <w:tblBorders/>
      </w:tblPr>
      <w:tcPr>
        <w:tcBorders/>
      </w:tcPr>
    </w:tblStylePr>
    <w:tblStylePr w:type="firstRow">
      <w:rPr>
        <w:b/>
        <w:color w:val="9f3a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a38" w:themeColor="accent2" w:themeTint="97" w:themeShade="95"/>
      </w:rPr>
      <w:pPr>
        <w:pBdr/>
        <w:spacing/>
        <w:ind/>
      </w:pPr>
      <w:tblPr>
        <w:tblBorders/>
      </w:tblPr>
      <w:tcPr>
        <w:tcBorders/>
      </w:tcPr>
    </w:tblStylePr>
    <w:tblStylePr w:type="lastRow">
      <w:rPr>
        <w:b/>
        <w:color w:val="9f3a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703"/>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c732f" w:themeColor="accent3" w:themeTint="FE" w:themeShade="95"/>
      </w:rPr>
      <w:pPr>
        <w:pBdr/>
        <w:spacing/>
        <w:ind/>
      </w:pPr>
      <w:tblPr>
        <w:tblBorders/>
      </w:tblPr>
      <w:tcPr>
        <w:tcBorders/>
      </w:tcPr>
    </w:tblStylePr>
    <w:tblStylePr w:type="firstRow">
      <w:rPr>
        <w:b/>
        <w:color w:val="5c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c732f" w:themeColor="accent3" w:themeTint="FE" w:themeShade="95"/>
      </w:rPr>
      <w:pPr>
        <w:pBdr/>
        <w:spacing/>
        <w:ind/>
      </w:pPr>
      <w:tblPr>
        <w:tblBorders/>
      </w:tblPr>
      <w:tcPr>
        <w:tcBorders/>
      </w:tcPr>
    </w:tblStylePr>
    <w:tblStylePr w:type="lastRow">
      <w:rPr>
        <w:b/>
        <w:color w:val="5c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70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64f84" w:themeColor="accent4" w:themeTint="9A" w:themeShade="95"/>
      </w:rPr>
      <w:pPr>
        <w:pBdr/>
        <w:spacing/>
        <w:ind/>
      </w:pPr>
      <w:tblPr>
        <w:tblBorders/>
      </w:tblPr>
      <w:tcPr>
        <w:tcBorders/>
      </w:tcPr>
    </w:tblStylePr>
    <w:tblStylePr w:type="firstRow">
      <w:rPr>
        <w:b/>
        <w:color w:val="66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64f84" w:themeColor="accent4" w:themeTint="9A" w:themeShade="95"/>
      </w:rPr>
      <w:pPr>
        <w:pBdr/>
        <w:spacing/>
        <w:ind/>
      </w:pPr>
      <w:tblPr>
        <w:tblBorders/>
      </w:tblPr>
      <w:tcPr>
        <w:tcBorders/>
      </w:tcPr>
    </w:tblStylePr>
    <w:tblStylePr w:type="lastRow">
      <w:rPr>
        <w:b/>
        <w:color w:val="66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703"/>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703"/>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703"/>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703"/>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703"/>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a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a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a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a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a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a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703"/>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c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c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c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c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c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c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703"/>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6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6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6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6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6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6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703"/>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703"/>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703"/>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703"/>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703"/>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703"/>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703"/>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703"/>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703"/>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70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703"/>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70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703"/>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70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703"/>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703"/>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70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703"/>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703"/>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703"/>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703"/>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703"/>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703"/>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703"/>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703"/>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703"/>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703"/>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703"/>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703"/>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703"/>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703"/>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703"/>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703"/>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a38" w:themeColor="accent2" w:themeTint="97" w:themeShade="95"/>
      </w:rPr>
      <w:pPr>
        <w:pBdr/>
        <w:spacing/>
        <w:ind/>
      </w:pPr>
      <w:tblPr>
        <w:tblBorders/>
      </w:tblPr>
      <w:tcPr>
        <w:tcBorders/>
      </w:tcPr>
    </w:tblStylePr>
    <w:tblStylePr w:type="firstRow">
      <w:rPr>
        <w:b/>
        <w:color w:val="9f3a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a38" w:themeColor="accent2" w:themeTint="97" w:themeShade="95"/>
      </w:rPr>
      <w:pPr>
        <w:pBdr/>
        <w:spacing/>
        <w:ind/>
      </w:pPr>
      <w:tblPr>
        <w:tblBorders/>
      </w:tblPr>
      <w:tcPr>
        <w:tcBorders/>
      </w:tcPr>
    </w:tblStylePr>
    <w:tblStylePr w:type="lastRow">
      <w:rPr>
        <w:b/>
        <w:color w:val="9f3a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703"/>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93f" w:themeColor="accent3" w:themeTint="98" w:themeShade="95"/>
      </w:rPr>
      <w:pPr>
        <w:pBdr/>
        <w:spacing/>
        <w:ind/>
      </w:pPr>
      <w:tblPr>
        <w:tblBorders/>
      </w:tblPr>
      <w:tcPr>
        <w:tcBorders/>
      </w:tcPr>
    </w:tblStylePr>
    <w:tblStylePr w:type="firstRow">
      <w:rPr>
        <w:b/>
        <w:color w:val="7c99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93f" w:themeColor="accent3" w:themeTint="98" w:themeShade="95"/>
      </w:rPr>
      <w:pPr>
        <w:pBdr/>
        <w:spacing/>
        <w:ind/>
      </w:pPr>
      <w:tblPr>
        <w:tblBorders/>
      </w:tblPr>
      <w:tcPr>
        <w:tcBorders/>
      </w:tcPr>
    </w:tblStylePr>
    <w:tblStylePr w:type="lastRow">
      <w:rPr>
        <w:b/>
        <w:color w:val="7c99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703"/>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64f84" w:themeColor="accent4" w:themeTint="9A" w:themeShade="95"/>
      </w:rPr>
      <w:pPr>
        <w:pBdr/>
        <w:spacing/>
        <w:ind/>
      </w:pPr>
      <w:tblPr>
        <w:tblBorders/>
      </w:tblPr>
      <w:tcPr>
        <w:tcBorders/>
      </w:tcPr>
    </w:tblStylePr>
    <w:tblStylePr w:type="firstRow">
      <w:rPr>
        <w:b/>
        <w:color w:val="66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64f84" w:themeColor="accent4" w:themeTint="9A" w:themeShade="95"/>
      </w:rPr>
      <w:pPr>
        <w:pBdr/>
        <w:spacing/>
        <w:ind/>
      </w:pPr>
      <w:tblPr>
        <w:tblBorders/>
      </w:tblPr>
      <w:tcPr>
        <w:tcBorders/>
      </w:tcPr>
    </w:tblStylePr>
    <w:tblStylePr w:type="lastRow">
      <w:rPr>
        <w:b/>
        <w:color w:val="66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703"/>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8ba3" w:themeColor="accent5" w:themeTint="9A" w:themeShade="95"/>
      </w:rPr>
      <w:pPr>
        <w:pBdr/>
        <w:spacing/>
        <w:ind/>
      </w:pPr>
      <w:tblPr>
        <w:tblBorders/>
      </w:tblPr>
      <w:tcPr>
        <w:tcBorders/>
      </w:tcPr>
    </w:tblStylePr>
    <w:tblStylePr w:type="firstRow">
      <w:rPr>
        <w:b/>
        <w:color w:val="33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38ba3" w:themeColor="accent5" w:themeTint="9A" w:themeShade="95"/>
      </w:rPr>
      <w:pPr>
        <w:pBdr/>
        <w:spacing/>
        <w:ind/>
      </w:pPr>
      <w:tblPr>
        <w:tblBorders/>
      </w:tblPr>
      <w:tcPr>
        <w:tcBorders/>
      </w:tcPr>
    </w:tblStylePr>
    <w:tblStylePr w:type="lastRow">
      <w:rPr>
        <w:b/>
        <w:color w:val="33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703"/>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80a" w:themeColor="accent6" w:themeTint="98" w:themeShade="95"/>
      </w:rPr>
      <w:pPr>
        <w:pBdr/>
        <w:spacing/>
        <w:ind/>
      </w:pPr>
      <w:tblPr>
        <w:tblBorders/>
      </w:tblPr>
      <w:tcPr>
        <w:tcBorders/>
      </w:tcPr>
    </w:tblStylePr>
    <w:tblStylePr w:type="firstRow">
      <w:rPr>
        <w:b/>
        <w:color w:val="dd68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80a" w:themeColor="accent6" w:themeTint="98" w:themeShade="95"/>
      </w:rPr>
      <w:pPr>
        <w:pBdr/>
        <w:spacing/>
        <w:ind/>
      </w:pPr>
      <w:tblPr>
        <w:tblBorders/>
      </w:tblPr>
      <w:tcPr>
        <w:tcBorders/>
      </w:tcPr>
    </w:tblStylePr>
    <w:tblStylePr w:type="lastRow">
      <w:rPr>
        <w:b/>
        <w:color w:val="dd68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703"/>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703"/>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703"/>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a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a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a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a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a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a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a38" w:themeColor="accent2" w:themeTint="97" w:themeShade="95"/>
        <w:sz w:val="22"/>
      </w:rPr>
      <w:pPr>
        <w:pBdr/>
        <w:spacing/>
        <w:ind/>
      </w:pPr>
      <w:tblPr>
        <w:tblBorders/>
      </w:tblPr>
      <w:tcPr>
        <w:tcBorders/>
      </w:tcPr>
    </w:tblStylePr>
  </w:style>
  <w:style w:type="table" w:styleId="113">
    <w:name w:val="List Table 7 Colorful - Accent 3"/>
    <w:basedOn w:val="703"/>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9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9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9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9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9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9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93f" w:themeColor="accent3" w:themeTint="98" w:themeShade="95"/>
        <w:sz w:val="22"/>
      </w:rPr>
      <w:pPr>
        <w:pBdr/>
        <w:spacing/>
        <w:ind/>
      </w:pPr>
      <w:tblPr>
        <w:tblBorders/>
      </w:tblPr>
      <w:tcPr>
        <w:tcBorders/>
      </w:tcPr>
    </w:tblStylePr>
  </w:style>
  <w:style w:type="table" w:styleId="114">
    <w:name w:val="List Table 7 Colorful - Accent 4"/>
    <w:basedOn w:val="703"/>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6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6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6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6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6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6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64f84" w:themeColor="accent4" w:themeTint="9A" w:themeShade="95"/>
        <w:sz w:val="22"/>
      </w:rPr>
      <w:pPr>
        <w:pBdr/>
        <w:spacing/>
        <w:ind/>
      </w:pPr>
      <w:tblPr>
        <w:tblBorders/>
      </w:tblPr>
      <w:tcPr>
        <w:tcBorders/>
      </w:tcPr>
    </w:tblStylePr>
  </w:style>
  <w:style w:type="table" w:styleId="115">
    <w:name w:val="List Table 7 Colorful - Accent 5"/>
    <w:basedOn w:val="703"/>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3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8ba3" w:themeColor="accent5" w:themeTint="9A" w:themeShade="95"/>
        <w:sz w:val="22"/>
      </w:rPr>
      <w:pPr>
        <w:pBdr/>
        <w:spacing/>
        <w:ind/>
      </w:pPr>
      <w:tblPr>
        <w:tblBorders/>
      </w:tblPr>
      <w:tcPr>
        <w:tcBorders/>
      </w:tcPr>
    </w:tblStylePr>
  </w:style>
  <w:style w:type="table" w:styleId="116">
    <w:name w:val="List Table 7 Colorful - Accent 6"/>
    <w:basedOn w:val="703"/>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8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8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8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8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8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8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80a" w:themeColor="accent6" w:themeTint="98" w:themeShade="95"/>
        <w:sz w:val="22"/>
      </w:rPr>
      <w:pPr>
        <w:pBdr/>
        <w:spacing/>
        <w:ind/>
      </w:pPr>
      <w:tblPr>
        <w:tblBorders/>
      </w:tblPr>
      <w:tcPr>
        <w:tcBorders/>
      </w:tcPr>
    </w:tblStylePr>
  </w:style>
  <w:style w:type="table" w:styleId="117">
    <w:name w:val="Lined - Accent"/>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703"/>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703"/>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703"/>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703"/>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703"/>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703"/>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703"/>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703"/>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70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70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70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70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70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70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81">
    <w:name w:val="footnote text"/>
    <w:basedOn w:val="688"/>
    <w:link w:val="182"/>
    <w:uiPriority w:val="99"/>
    <w:semiHidden/>
    <w:unhideWhenUsed/>
    <w:pPr>
      <w:pBdr/>
      <w:spacing w:after="0" w:line="240" w:lineRule="auto"/>
      <w:ind/>
    </w:pPr>
    <w:rPr>
      <w:sz w:val="20"/>
      <w:szCs w:val="20"/>
    </w:rPr>
  </w:style>
  <w:style w:type="character" w:styleId="182">
    <w:name w:val="Footnote Text Char"/>
    <w:basedOn w:val="702"/>
    <w:link w:val="181"/>
    <w:uiPriority w:val="99"/>
    <w:semiHidden/>
    <w:pPr>
      <w:pBdr/>
      <w:spacing/>
      <w:ind/>
    </w:pPr>
    <w:rPr>
      <w:sz w:val="20"/>
      <w:szCs w:val="20"/>
    </w:rPr>
  </w:style>
  <w:style w:type="character" w:styleId="183">
    <w:name w:val="footnote reference"/>
    <w:basedOn w:val="702"/>
    <w:uiPriority w:val="99"/>
    <w:semiHidden/>
    <w:unhideWhenUsed/>
    <w:pPr>
      <w:pBdr/>
      <w:spacing/>
      <w:ind/>
    </w:pPr>
    <w:rPr>
      <w:vertAlign w:val="superscript"/>
    </w:rPr>
  </w:style>
  <w:style w:type="paragraph" w:styleId="184">
    <w:name w:val="endnote text"/>
    <w:basedOn w:val="688"/>
    <w:link w:val="185"/>
    <w:uiPriority w:val="99"/>
    <w:semiHidden/>
    <w:unhideWhenUsed/>
    <w:pPr>
      <w:pBdr/>
      <w:spacing w:after="0" w:line="240" w:lineRule="auto"/>
      <w:ind/>
    </w:pPr>
    <w:rPr>
      <w:sz w:val="20"/>
      <w:szCs w:val="20"/>
    </w:rPr>
  </w:style>
  <w:style w:type="character" w:styleId="185">
    <w:name w:val="Endnote Text Char"/>
    <w:basedOn w:val="702"/>
    <w:link w:val="184"/>
    <w:uiPriority w:val="99"/>
    <w:semiHidden/>
    <w:pPr>
      <w:pBdr/>
      <w:spacing/>
      <w:ind/>
    </w:pPr>
    <w:rPr>
      <w:sz w:val="20"/>
      <w:szCs w:val="20"/>
    </w:rPr>
  </w:style>
  <w:style w:type="character" w:styleId="186">
    <w:name w:val="endnote reference"/>
    <w:basedOn w:val="702"/>
    <w:uiPriority w:val="99"/>
    <w:semiHidden/>
    <w:unhideWhenUsed/>
    <w:pPr>
      <w:pBdr/>
      <w:spacing/>
      <w:ind/>
    </w:pPr>
    <w:rPr>
      <w:vertAlign w:val="superscript"/>
    </w:rPr>
  </w:style>
  <w:style w:type="character" w:styleId="187">
    <w:name w:val="Hyperlink"/>
    <w:basedOn w:val="702"/>
    <w:uiPriority w:val="99"/>
    <w:unhideWhenUsed/>
    <w:pPr>
      <w:pBdr/>
      <w:spacing/>
      <w:ind/>
    </w:pPr>
    <w:rPr>
      <w:color w:val="0563c1" w:themeColor="hyperlink"/>
      <w:u w:val="single"/>
    </w:rPr>
  </w:style>
  <w:style w:type="character" w:styleId="188">
    <w:name w:val="FollowedHyperlink"/>
    <w:basedOn w:val="702"/>
    <w:uiPriority w:val="99"/>
    <w:semiHidden/>
    <w:unhideWhenUsed/>
    <w:pPr>
      <w:pBdr/>
      <w:spacing/>
      <w:ind/>
    </w:pPr>
    <w:rPr>
      <w:color w:val="954f72" w:themeColor="followedHyperlink"/>
      <w:u w:val="single"/>
    </w:rPr>
  </w:style>
  <w:style w:type="paragraph" w:styleId="189">
    <w:name w:val="toc 1"/>
    <w:basedOn w:val="688"/>
    <w:next w:val="688"/>
    <w:uiPriority w:val="39"/>
    <w:unhideWhenUsed/>
    <w:pPr>
      <w:pBdr/>
      <w:spacing w:after="100"/>
      <w:ind/>
    </w:pPr>
  </w:style>
  <w:style w:type="paragraph" w:styleId="190">
    <w:name w:val="toc 2"/>
    <w:basedOn w:val="688"/>
    <w:next w:val="688"/>
    <w:uiPriority w:val="39"/>
    <w:unhideWhenUsed/>
    <w:pPr>
      <w:pBdr/>
      <w:spacing w:after="100"/>
      <w:ind w:left="220"/>
    </w:pPr>
  </w:style>
  <w:style w:type="paragraph" w:styleId="191">
    <w:name w:val="toc 3"/>
    <w:basedOn w:val="688"/>
    <w:next w:val="688"/>
    <w:uiPriority w:val="39"/>
    <w:unhideWhenUsed/>
    <w:pPr>
      <w:pBdr/>
      <w:spacing w:after="100"/>
      <w:ind w:left="440"/>
    </w:pPr>
  </w:style>
  <w:style w:type="paragraph" w:styleId="192">
    <w:name w:val="toc 4"/>
    <w:basedOn w:val="688"/>
    <w:next w:val="688"/>
    <w:uiPriority w:val="39"/>
    <w:unhideWhenUsed/>
    <w:pPr>
      <w:pBdr/>
      <w:spacing w:after="100"/>
      <w:ind w:left="660"/>
    </w:pPr>
  </w:style>
  <w:style w:type="paragraph" w:styleId="193">
    <w:name w:val="toc 5"/>
    <w:basedOn w:val="688"/>
    <w:next w:val="688"/>
    <w:uiPriority w:val="39"/>
    <w:unhideWhenUsed/>
    <w:pPr>
      <w:pBdr/>
      <w:spacing w:after="100"/>
      <w:ind w:left="880"/>
    </w:pPr>
  </w:style>
  <w:style w:type="paragraph" w:styleId="194">
    <w:name w:val="toc 6"/>
    <w:basedOn w:val="688"/>
    <w:next w:val="688"/>
    <w:uiPriority w:val="39"/>
    <w:unhideWhenUsed/>
    <w:pPr>
      <w:pBdr/>
      <w:spacing w:after="100"/>
      <w:ind w:left="1100"/>
    </w:pPr>
  </w:style>
  <w:style w:type="paragraph" w:styleId="195">
    <w:name w:val="toc 7"/>
    <w:basedOn w:val="688"/>
    <w:next w:val="688"/>
    <w:uiPriority w:val="39"/>
    <w:unhideWhenUsed/>
    <w:pPr>
      <w:pBdr/>
      <w:spacing w:after="100"/>
      <w:ind w:left="1320"/>
    </w:pPr>
  </w:style>
  <w:style w:type="paragraph" w:styleId="196">
    <w:name w:val="toc 8"/>
    <w:basedOn w:val="688"/>
    <w:next w:val="688"/>
    <w:uiPriority w:val="39"/>
    <w:unhideWhenUsed/>
    <w:pPr>
      <w:pBdr/>
      <w:spacing w:after="100"/>
      <w:ind w:left="1540"/>
    </w:pPr>
  </w:style>
  <w:style w:type="paragraph" w:styleId="197">
    <w:name w:val="toc 9"/>
    <w:basedOn w:val="688"/>
    <w:next w:val="688"/>
    <w:uiPriority w:val="39"/>
    <w:unhideWhenUsed/>
    <w:pPr>
      <w:pBdr/>
      <w:spacing w:after="100"/>
      <w:ind w:left="1760"/>
    </w:pPr>
  </w:style>
  <w:style w:type="character" w:styleId="198">
    <w:name w:val="Placeholder Text"/>
    <w:basedOn w:val="702"/>
    <w:uiPriority w:val="99"/>
    <w:semiHidden/>
    <w:pPr>
      <w:pBdr/>
      <w:spacing/>
      <w:ind/>
    </w:pPr>
    <w:rPr>
      <w:color w:val="666666"/>
    </w:rPr>
  </w:style>
  <w:style w:type="paragraph" w:styleId="209">
    <w:name w:val="table of figures"/>
    <w:basedOn w:val="688"/>
    <w:next w:val="688"/>
    <w:uiPriority w:val="99"/>
    <w:unhideWhenUsed/>
    <w:pPr>
      <w:pBdr/>
      <w:spacing w:after="0" w:afterAutospacing="0"/>
      <w:ind/>
    </w:pPr>
  </w:style>
  <w:style w:type="paragraph" w:styleId="688" w:default="1">
    <w:name w:val="Normal"/>
    <w:qFormat/>
    <w:pPr>
      <w:pBdr/>
      <w:spacing/>
      <w:ind/>
    </w:pPr>
    <w:rPr>
      <w:sz w:val="22"/>
    </w:rPr>
  </w:style>
  <w:style w:type="paragraph" w:styleId="689">
    <w:name w:val="Header"/>
    <w:basedOn w:val="688"/>
    <w:link w:val="690"/>
    <w:uiPriority w:val="99"/>
    <w:unhideWhenUsed/>
    <w:pPr>
      <w:pBdr/>
      <w:tabs>
        <w:tab w:val="center" w:leader="none" w:pos="4680"/>
        <w:tab w:val="right" w:leader="none" w:pos="9360"/>
      </w:tabs>
      <w:spacing w:after="0" w:line="240" w:lineRule="auto"/>
      <w:ind/>
    </w:pPr>
  </w:style>
  <w:style w:type="character" w:styleId="690" w:customStyle="1">
    <w:name w:val="Header Char"/>
    <w:basedOn w:val="702"/>
    <w:link w:val="689"/>
    <w:uiPriority w:val="99"/>
    <w:pPr>
      <w:pBdr/>
      <w:spacing/>
      <w:ind/>
    </w:pPr>
  </w:style>
  <w:style w:type="paragraph" w:styleId="691">
    <w:name w:val="Footer"/>
    <w:basedOn w:val="688"/>
    <w:link w:val="692"/>
    <w:uiPriority w:val="99"/>
    <w:unhideWhenUsed/>
    <w:pPr>
      <w:pBdr/>
      <w:tabs>
        <w:tab w:val="center" w:leader="none" w:pos="4680"/>
        <w:tab w:val="right" w:leader="none" w:pos="9360"/>
      </w:tabs>
      <w:spacing w:after="0" w:line="240" w:lineRule="auto"/>
      <w:ind/>
    </w:pPr>
  </w:style>
  <w:style w:type="character" w:styleId="692" w:customStyle="1">
    <w:name w:val="Footer Char"/>
    <w:basedOn w:val="702"/>
    <w:link w:val="691"/>
    <w:uiPriority w:val="99"/>
    <w:pPr>
      <w:pBdr/>
      <w:spacing/>
      <w:ind/>
    </w:pPr>
  </w:style>
  <w:style w:type="paragraph" w:styleId="693">
    <w:name w:val="Heading 1"/>
    <w:basedOn w:val="688"/>
    <w:next w:val="688"/>
    <w:link w:val="706"/>
    <w:uiPriority w:val="9"/>
    <w:qFormat/>
    <w:pPr>
      <w:keepNext w:val="true"/>
      <w:keepLines w:val="true"/>
      <w:pBdr/>
      <w:spacing w:after="0" w:before="480"/>
      <w:ind/>
      <w:outlineLvl w:val="0"/>
    </w:pPr>
    <w:rPr>
      <w:rFonts w:asciiTheme="majorHAnsi" w:hAnsiTheme="majorHAnsi" w:eastAsiaTheme="majorEastAsia" w:cstheme="majorBidi"/>
      <w:b/>
      <w:bCs/>
      <w:color w:val="365f91" w:themeColor="accent1" w:themeShade="BF"/>
      <w:sz w:val="28"/>
      <w:szCs w:val="28"/>
    </w:rPr>
  </w:style>
  <w:style w:type="paragraph" w:styleId="694">
    <w:name w:val="Heading 2"/>
    <w:basedOn w:val="688"/>
    <w:next w:val="688"/>
    <w:link w:val="707"/>
    <w:uiPriority w:val="9"/>
    <w:unhideWhenUsed/>
    <w:qFormat/>
    <w:pPr>
      <w:keepNext w:val="true"/>
      <w:keepLines w:val="true"/>
      <w:pBdr/>
      <w:spacing w:after="0" w:before="200"/>
      <w:ind/>
      <w:outlineLvl w:val="1"/>
    </w:pPr>
    <w:rPr>
      <w:rFonts w:asciiTheme="majorHAnsi" w:hAnsiTheme="majorHAnsi" w:eastAsiaTheme="majorEastAsia" w:cstheme="majorBidi"/>
      <w:b/>
      <w:bCs/>
      <w:color w:val="4f81bd" w:themeColor="accent1"/>
      <w:sz w:val="24"/>
      <w:szCs w:val="26"/>
    </w:rPr>
  </w:style>
  <w:style w:type="paragraph" w:styleId="695">
    <w:name w:val="Heading 3"/>
    <w:basedOn w:val="688"/>
    <w:next w:val="688"/>
    <w:link w:val="708"/>
    <w:uiPriority w:val="9"/>
    <w:unhideWhenUsed/>
    <w:qFormat/>
    <w:pPr>
      <w:keepNext w:val="true"/>
      <w:keepLines w:val="true"/>
      <w:pBdr/>
      <w:spacing w:after="0" w:before="200"/>
      <w:ind/>
      <w:outlineLvl w:val="2"/>
    </w:pPr>
    <w:rPr>
      <w:rFonts w:asciiTheme="majorHAnsi" w:hAnsiTheme="majorHAnsi" w:eastAsiaTheme="majorEastAsia" w:cstheme="majorBidi"/>
      <w:b/>
      <w:bCs/>
      <w:color w:val="4f81bd" w:themeColor="accent1"/>
    </w:rPr>
  </w:style>
  <w:style w:type="paragraph" w:styleId="696">
    <w:name w:val="Heading 4"/>
    <w:basedOn w:val="688"/>
    <w:next w:val="688"/>
    <w:link w:val="736"/>
    <w:uiPriority w:val="9"/>
    <w:semiHidden/>
    <w:unhideWhenUsed/>
    <w:qFormat/>
    <w:pPr>
      <w:keepNext w:val="true"/>
      <w:keepLines w:val="true"/>
      <w:pBdr/>
      <w:spacing w:after="0" w:before="200"/>
      <w:ind/>
      <w:outlineLvl w:val="3"/>
    </w:pPr>
    <w:rPr>
      <w:rFonts w:asciiTheme="majorHAnsi" w:hAnsiTheme="majorHAnsi" w:eastAsiaTheme="majorEastAsia" w:cstheme="majorBidi"/>
      <w:b/>
      <w:bCs/>
      <w:i/>
      <w:iCs/>
      <w:color w:val="4f81bd" w:themeColor="accent1"/>
    </w:rPr>
  </w:style>
  <w:style w:type="paragraph" w:styleId="697">
    <w:name w:val="Heading 5"/>
    <w:basedOn w:val="688"/>
    <w:next w:val="688"/>
    <w:link w:val="737"/>
    <w:uiPriority w:val="9"/>
    <w:semiHidden/>
    <w:unhideWhenUsed/>
    <w:qFormat/>
    <w:pPr>
      <w:keepNext w:val="true"/>
      <w:keepLines w:val="true"/>
      <w:pBdr/>
      <w:spacing w:after="0" w:before="200"/>
      <w:ind/>
      <w:outlineLvl w:val="4"/>
    </w:pPr>
    <w:rPr>
      <w:rFonts w:asciiTheme="majorHAnsi" w:hAnsiTheme="majorHAnsi" w:eastAsiaTheme="majorEastAsia" w:cstheme="majorBidi"/>
      <w:color w:val="243f60" w:themeColor="accent1" w:themeShade="7F"/>
    </w:rPr>
  </w:style>
  <w:style w:type="paragraph" w:styleId="698">
    <w:name w:val="Heading 6"/>
    <w:basedOn w:val="688"/>
    <w:next w:val="688"/>
    <w:link w:val="738"/>
    <w:uiPriority w:val="9"/>
    <w:semiHidden/>
    <w:unhideWhenUsed/>
    <w:qFormat/>
    <w:pPr>
      <w:keepNext w:val="true"/>
      <w:keepLines w:val="true"/>
      <w:pBdr/>
      <w:spacing w:after="0" w:before="200"/>
      <w:ind/>
      <w:outlineLvl w:val="5"/>
    </w:pPr>
    <w:rPr>
      <w:rFonts w:asciiTheme="majorHAnsi" w:hAnsiTheme="majorHAnsi" w:eastAsiaTheme="majorEastAsia" w:cstheme="majorBidi"/>
      <w:i/>
      <w:iCs/>
      <w:color w:val="243f60" w:themeColor="accent1" w:themeShade="7F"/>
    </w:rPr>
  </w:style>
  <w:style w:type="paragraph" w:styleId="699">
    <w:name w:val="Heading 7"/>
    <w:basedOn w:val="688"/>
    <w:next w:val="688"/>
    <w:link w:val="739"/>
    <w:uiPriority w:val="9"/>
    <w:semiHidden/>
    <w:unhideWhenUsed/>
    <w:qFormat/>
    <w:pPr>
      <w:keepNext w:val="true"/>
      <w:keepLines w:val="true"/>
      <w:pBdr/>
      <w:spacing w:after="0" w:before="200"/>
      <w:ind/>
      <w:outlineLvl w:val="6"/>
    </w:pPr>
    <w:rPr>
      <w:rFonts w:asciiTheme="majorHAnsi" w:hAnsiTheme="majorHAnsi" w:eastAsiaTheme="majorEastAsia" w:cstheme="majorBidi"/>
      <w:i/>
      <w:iCs/>
      <w:color w:val="404040" w:themeColor="text1" w:themeTint="BF"/>
    </w:rPr>
  </w:style>
  <w:style w:type="paragraph" w:styleId="700">
    <w:name w:val="Heading 8"/>
    <w:basedOn w:val="688"/>
    <w:next w:val="688"/>
    <w:link w:val="740"/>
    <w:uiPriority w:val="9"/>
    <w:semiHidden/>
    <w:unhideWhenUsed/>
    <w:qFormat/>
    <w:pPr>
      <w:keepNext w:val="true"/>
      <w:keepLines w:val="true"/>
      <w:pBdr/>
      <w:spacing w:after="0" w:before="200"/>
      <w:ind/>
      <w:outlineLvl w:val="7"/>
    </w:pPr>
    <w:rPr>
      <w:rFonts w:asciiTheme="majorHAnsi" w:hAnsiTheme="majorHAnsi" w:eastAsiaTheme="majorEastAsia" w:cstheme="majorBidi"/>
      <w:color w:val="4f81bd" w:themeColor="accent1"/>
      <w:sz w:val="20"/>
      <w:szCs w:val="20"/>
    </w:rPr>
  </w:style>
  <w:style w:type="paragraph" w:styleId="701">
    <w:name w:val="Heading 9"/>
    <w:basedOn w:val="688"/>
    <w:next w:val="688"/>
    <w:link w:val="741"/>
    <w:uiPriority w:val="9"/>
    <w:semiHidden/>
    <w:unhideWhenUsed/>
    <w:qFormat/>
    <w:pPr>
      <w:keepNext w:val="true"/>
      <w:keepLines w:val="true"/>
      <w:pBdr/>
      <w:spacing w:after="0" w:before="200"/>
      <w:ind/>
      <w:outlineLvl w:val="8"/>
    </w:pPr>
    <w:rPr>
      <w:rFonts w:asciiTheme="majorHAnsi" w:hAnsiTheme="majorHAnsi" w:eastAsiaTheme="majorEastAsia" w:cstheme="majorBidi"/>
      <w:i/>
      <w:iCs/>
      <w:color w:val="404040" w:themeColor="text1" w:themeTint="BF"/>
      <w:sz w:val="20"/>
      <w:szCs w:val="20"/>
    </w:rPr>
  </w:style>
  <w:style w:type="character" w:styleId="702" w:default="1">
    <w:name w:val="Default Paragraph Font"/>
    <w:uiPriority w:val="1"/>
    <w:semiHidden/>
    <w:unhideWhenUsed/>
    <w:pPr>
      <w:pBdr/>
      <w:spacing/>
      <w:ind/>
    </w:pPr>
  </w:style>
  <w:style w:type="table" w:styleId="703"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704" w:default="1">
    <w:name w:val="No List"/>
    <w:uiPriority w:val="99"/>
    <w:semiHidden/>
    <w:unhideWhenUsed/>
    <w:pPr>
      <w:pBdr/>
      <w:spacing/>
      <w:ind/>
    </w:pPr>
  </w:style>
  <w:style w:type="paragraph" w:styleId="705">
    <w:name w:val="No Spacing"/>
    <w:uiPriority w:val="1"/>
    <w:qFormat/>
    <w:pPr>
      <w:pBdr/>
      <w:spacing w:after="0" w:line="240" w:lineRule="auto"/>
      <w:ind/>
    </w:pPr>
  </w:style>
  <w:style w:type="character" w:styleId="706" w:customStyle="1">
    <w:name w:val="Heading 1 Char"/>
    <w:basedOn w:val="702"/>
    <w:link w:val="693"/>
    <w:uiPriority w:val="9"/>
    <w:pPr>
      <w:pBdr/>
      <w:spacing/>
      <w:ind/>
    </w:pPr>
    <w:rPr>
      <w:rFonts w:asciiTheme="majorHAnsi" w:hAnsiTheme="majorHAnsi" w:eastAsiaTheme="majorEastAsia" w:cstheme="majorBidi"/>
      <w:b/>
      <w:bCs/>
      <w:color w:val="365f91" w:themeColor="accent1" w:themeShade="BF"/>
      <w:sz w:val="28"/>
      <w:szCs w:val="28"/>
    </w:rPr>
  </w:style>
  <w:style w:type="character" w:styleId="707" w:customStyle="1">
    <w:name w:val="Heading 2 Char"/>
    <w:basedOn w:val="702"/>
    <w:link w:val="694"/>
    <w:uiPriority w:val="9"/>
    <w:pPr>
      <w:pBdr/>
      <w:spacing/>
      <w:ind/>
    </w:pPr>
    <w:rPr>
      <w:rFonts w:asciiTheme="majorHAnsi" w:hAnsiTheme="majorHAnsi" w:eastAsiaTheme="majorEastAsia" w:cstheme="majorBidi"/>
      <w:b/>
      <w:bCs/>
      <w:color w:val="4f81bd" w:themeColor="accent1"/>
      <w:sz w:val="26"/>
      <w:szCs w:val="26"/>
    </w:rPr>
  </w:style>
  <w:style w:type="character" w:styleId="708" w:customStyle="1">
    <w:name w:val="Heading 3 Char"/>
    <w:basedOn w:val="702"/>
    <w:link w:val="695"/>
    <w:uiPriority w:val="9"/>
    <w:pPr>
      <w:pBdr/>
      <w:spacing/>
      <w:ind/>
    </w:pPr>
    <w:rPr>
      <w:rFonts w:asciiTheme="majorHAnsi" w:hAnsiTheme="majorHAnsi" w:eastAsiaTheme="majorEastAsia" w:cstheme="majorBidi"/>
      <w:b/>
      <w:bCs/>
      <w:color w:val="4f81bd" w:themeColor="accent1"/>
    </w:rPr>
  </w:style>
  <w:style w:type="paragraph" w:styleId="709">
    <w:name w:val="Title"/>
    <w:basedOn w:val="688"/>
    <w:next w:val="688"/>
    <w:link w:val="710"/>
    <w:uiPriority w:val="10"/>
    <w:qFormat/>
    <w:pPr>
      <w:pBdr>
        <w:bottom w:val="single" w:color="4f81bd" w:themeColor="accent1" w:sz="8" w:space="4"/>
      </w:pBdr>
      <w:spacing w:after="300" w:line="240" w:lineRule="auto"/>
      <w:ind/>
      <w:contextualSpacing w:val="true"/>
    </w:pPr>
    <w:rPr>
      <w:rFonts w:asciiTheme="majorHAnsi" w:hAnsiTheme="majorHAnsi" w:eastAsiaTheme="majorEastAsia" w:cstheme="majorBidi"/>
      <w:b/>
      <w:color w:val="17365d" w:themeColor="text2" w:themeShade="BF"/>
      <w:spacing w:val="5"/>
      <w:sz w:val="44"/>
      <w:szCs w:val="52"/>
    </w:rPr>
  </w:style>
  <w:style w:type="character" w:styleId="710" w:customStyle="1">
    <w:name w:val="Title Char"/>
    <w:basedOn w:val="702"/>
    <w:link w:val="709"/>
    <w:uiPriority w:val="10"/>
    <w:pPr>
      <w:pBdr/>
      <w:spacing/>
      <w:ind/>
    </w:pPr>
    <w:rPr>
      <w:rFonts w:asciiTheme="majorHAnsi" w:hAnsiTheme="majorHAnsi" w:eastAsiaTheme="majorEastAsia" w:cstheme="majorBidi"/>
      <w:color w:val="17365d" w:themeColor="text2" w:themeShade="BF"/>
      <w:spacing w:val="5"/>
      <w:sz w:val="52"/>
      <w:szCs w:val="52"/>
    </w:rPr>
  </w:style>
  <w:style w:type="paragraph" w:styleId="711">
    <w:name w:val="Subtitle"/>
    <w:basedOn w:val="688"/>
    <w:next w:val="688"/>
    <w:link w:val="712"/>
    <w:uiPriority w:val="11"/>
    <w:qFormat/>
    <w:pPr>
      <w:numPr>
        <w:ilvl w:val="1"/>
      </w:numPr>
      <w:pBdr/>
      <w:spacing/>
      <w:ind/>
    </w:pPr>
    <w:rPr>
      <w:rFonts w:asciiTheme="majorHAnsi" w:hAnsiTheme="majorHAnsi" w:eastAsiaTheme="majorEastAsia" w:cstheme="majorBidi"/>
      <w:i/>
      <w:iCs/>
      <w:color w:val="4f81bd" w:themeColor="accent1"/>
      <w:spacing w:val="15"/>
      <w:sz w:val="24"/>
      <w:szCs w:val="24"/>
    </w:rPr>
  </w:style>
  <w:style w:type="character" w:styleId="712" w:customStyle="1">
    <w:name w:val="Subtitle Char"/>
    <w:basedOn w:val="702"/>
    <w:link w:val="711"/>
    <w:uiPriority w:val="11"/>
    <w:pPr>
      <w:pBdr/>
      <w:spacing/>
      <w:ind/>
    </w:pPr>
    <w:rPr>
      <w:rFonts w:asciiTheme="majorHAnsi" w:hAnsiTheme="majorHAnsi" w:eastAsiaTheme="majorEastAsia" w:cstheme="majorBidi"/>
      <w:i/>
      <w:iCs/>
      <w:color w:val="4f81bd" w:themeColor="accent1"/>
      <w:spacing w:val="15"/>
      <w:sz w:val="24"/>
      <w:szCs w:val="24"/>
    </w:rPr>
  </w:style>
  <w:style w:type="paragraph" w:styleId="713">
    <w:name w:val="List Paragraph"/>
    <w:basedOn w:val="688"/>
    <w:uiPriority w:val="34"/>
    <w:qFormat/>
    <w:pPr>
      <w:pBdr/>
      <w:spacing/>
      <w:ind w:left="720"/>
      <w:contextualSpacing w:val="true"/>
    </w:pPr>
  </w:style>
  <w:style w:type="paragraph" w:styleId="714">
    <w:name w:val="Body Text"/>
    <w:basedOn w:val="688"/>
    <w:link w:val="715"/>
    <w:uiPriority w:val="99"/>
    <w:unhideWhenUsed/>
    <w:pPr>
      <w:pBdr/>
      <w:spacing w:after="120"/>
      <w:ind/>
    </w:pPr>
  </w:style>
  <w:style w:type="character" w:styleId="715" w:customStyle="1">
    <w:name w:val="Body Text Char"/>
    <w:basedOn w:val="702"/>
    <w:link w:val="714"/>
    <w:uiPriority w:val="99"/>
    <w:pPr>
      <w:pBdr/>
      <w:spacing/>
      <w:ind/>
    </w:pPr>
  </w:style>
  <w:style w:type="paragraph" w:styleId="716">
    <w:name w:val="Body Text 2"/>
    <w:basedOn w:val="688"/>
    <w:link w:val="717"/>
    <w:uiPriority w:val="99"/>
    <w:unhideWhenUsed/>
    <w:pPr>
      <w:pBdr/>
      <w:spacing w:after="120" w:line="480" w:lineRule="auto"/>
      <w:ind/>
    </w:pPr>
  </w:style>
  <w:style w:type="character" w:styleId="717" w:customStyle="1">
    <w:name w:val="Body Text 2 Char"/>
    <w:basedOn w:val="702"/>
    <w:link w:val="716"/>
    <w:uiPriority w:val="99"/>
    <w:pPr>
      <w:pBdr/>
      <w:spacing/>
      <w:ind/>
    </w:pPr>
  </w:style>
  <w:style w:type="paragraph" w:styleId="718">
    <w:name w:val="Body Text 3"/>
    <w:basedOn w:val="688"/>
    <w:link w:val="719"/>
    <w:uiPriority w:val="99"/>
    <w:unhideWhenUsed/>
    <w:pPr>
      <w:pBdr/>
      <w:spacing w:after="120"/>
      <w:ind/>
    </w:pPr>
    <w:rPr>
      <w:sz w:val="16"/>
      <w:szCs w:val="16"/>
    </w:rPr>
  </w:style>
  <w:style w:type="character" w:styleId="719" w:customStyle="1">
    <w:name w:val="Body Text 3 Char"/>
    <w:basedOn w:val="702"/>
    <w:link w:val="718"/>
    <w:uiPriority w:val="99"/>
    <w:pPr>
      <w:pBdr/>
      <w:spacing/>
      <w:ind/>
    </w:pPr>
    <w:rPr>
      <w:sz w:val="16"/>
      <w:szCs w:val="16"/>
    </w:rPr>
  </w:style>
  <w:style w:type="paragraph" w:styleId="720">
    <w:name w:val="List"/>
    <w:basedOn w:val="688"/>
    <w:uiPriority w:val="99"/>
    <w:unhideWhenUsed/>
    <w:pPr>
      <w:pBdr/>
      <w:spacing/>
      <w:ind w:hanging="360" w:left="360"/>
      <w:contextualSpacing w:val="true"/>
    </w:pPr>
  </w:style>
  <w:style w:type="paragraph" w:styleId="721">
    <w:name w:val="List 2"/>
    <w:basedOn w:val="688"/>
    <w:uiPriority w:val="99"/>
    <w:unhideWhenUsed/>
    <w:pPr>
      <w:pBdr/>
      <w:spacing/>
      <w:ind w:hanging="360" w:left="720"/>
      <w:contextualSpacing w:val="true"/>
    </w:pPr>
  </w:style>
  <w:style w:type="paragraph" w:styleId="722">
    <w:name w:val="List 3"/>
    <w:basedOn w:val="688"/>
    <w:uiPriority w:val="99"/>
    <w:unhideWhenUsed/>
    <w:pPr>
      <w:pBdr/>
      <w:spacing/>
      <w:ind w:hanging="360" w:left="1080"/>
      <w:contextualSpacing w:val="true"/>
    </w:pPr>
  </w:style>
  <w:style w:type="paragraph" w:styleId="723">
    <w:name w:val="List Bullet"/>
    <w:basedOn w:val="688"/>
    <w:uiPriority w:val="99"/>
    <w:unhideWhenUsed/>
    <w:pPr>
      <w:numPr>
        <w:numId w:val="1"/>
      </w:numPr>
      <w:pBdr/>
      <w:spacing/>
      <w:ind/>
      <w:contextualSpacing w:val="true"/>
    </w:pPr>
  </w:style>
  <w:style w:type="paragraph" w:styleId="724">
    <w:name w:val="List Bullet 2"/>
    <w:basedOn w:val="688"/>
    <w:uiPriority w:val="99"/>
    <w:unhideWhenUsed/>
    <w:pPr>
      <w:numPr>
        <w:numId w:val="2"/>
      </w:numPr>
      <w:pBdr/>
      <w:spacing/>
      <w:ind/>
      <w:contextualSpacing w:val="true"/>
    </w:pPr>
  </w:style>
  <w:style w:type="paragraph" w:styleId="725">
    <w:name w:val="List Bullet 3"/>
    <w:basedOn w:val="688"/>
    <w:uiPriority w:val="99"/>
    <w:unhideWhenUsed/>
    <w:pPr>
      <w:numPr>
        <w:numId w:val="3"/>
      </w:numPr>
      <w:pBdr/>
      <w:spacing/>
      <w:ind/>
      <w:contextualSpacing w:val="true"/>
    </w:pPr>
  </w:style>
  <w:style w:type="paragraph" w:styleId="726">
    <w:name w:val="List Number"/>
    <w:basedOn w:val="688"/>
    <w:uiPriority w:val="99"/>
    <w:unhideWhenUsed/>
    <w:pPr>
      <w:numPr>
        <w:numId w:val="5"/>
      </w:numPr>
      <w:pBdr/>
      <w:spacing/>
      <w:ind/>
      <w:contextualSpacing w:val="true"/>
    </w:pPr>
  </w:style>
  <w:style w:type="paragraph" w:styleId="727">
    <w:name w:val="List Number 2"/>
    <w:basedOn w:val="688"/>
    <w:uiPriority w:val="99"/>
    <w:unhideWhenUsed/>
    <w:pPr>
      <w:numPr>
        <w:numId w:val="6"/>
      </w:numPr>
      <w:pBdr/>
      <w:spacing/>
      <w:ind/>
      <w:contextualSpacing w:val="true"/>
    </w:pPr>
  </w:style>
  <w:style w:type="paragraph" w:styleId="728">
    <w:name w:val="List Number 3"/>
    <w:basedOn w:val="688"/>
    <w:uiPriority w:val="99"/>
    <w:unhideWhenUsed/>
    <w:pPr>
      <w:numPr>
        <w:numId w:val="7"/>
      </w:numPr>
      <w:pBdr/>
      <w:spacing/>
      <w:ind/>
      <w:contextualSpacing w:val="true"/>
    </w:pPr>
  </w:style>
  <w:style w:type="paragraph" w:styleId="729">
    <w:name w:val="List Continue"/>
    <w:basedOn w:val="688"/>
    <w:uiPriority w:val="99"/>
    <w:unhideWhenUsed/>
    <w:pPr>
      <w:pBdr/>
      <w:spacing w:after="120"/>
      <w:ind w:left="360"/>
      <w:contextualSpacing w:val="true"/>
    </w:pPr>
  </w:style>
  <w:style w:type="paragraph" w:styleId="730">
    <w:name w:val="List Continue 2"/>
    <w:basedOn w:val="688"/>
    <w:uiPriority w:val="99"/>
    <w:unhideWhenUsed/>
    <w:pPr>
      <w:pBdr/>
      <w:spacing w:after="120"/>
      <w:ind w:left="720"/>
      <w:contextualSpacing w:val="true"/>
    </w:pPr>
  </w:style>
  <w:style w:type="paragraph" w:styleId="731">
    <w:name w:val="List Continue 3"/>
    <w:basedOn w:val="688"/>
    <w:uiPriority w:val="99"/>
    <w:unhideWhenUsed/>
    <w:pPr>
      <w:pBdr/>
      <w:spacing w:after="120"/>
      <w:ind w:left="1080"/>
      <w:contextualSpacing w:val="true"/>
    </w:pPr>
  </w:style>
  <w:style w:type="paragraph" w:styleId="732">
    <w:name w:val="macro"/>
    <w:link w:val="733"/>
    <w:uiPriority w:val="99"/>
    <w:unhideWhenUsed/>
    <w:pPr>
      <w:pBdr/>
      <w:tabs>
        <w:tab w:val="left" w:leader="none" w:pos="576"/>
        <w:tab w:val="left" w:leader="none" w:pos="1152"/>
        <w:tab w:val="left" w:leader="none" w:pos="1728"/>
        <w:tab w:val="left" w:leader="none" w:pos="2304"/>
        <w:tab w:val="left" w:leader="none" w:pos="2880"/>
        <w:tab w:val="left" w:leader="none" w:pos="3456"/>
        <w:tab w:val="left" w:leader="none" w:pos="4032"/>
      </w:tabs>
      <w:spacing/>
      <w:ind/>
    </w:pPr>
    <w:rPr>
      <w:rFonts w:ascii="Courier" w:hAnsi="Courier"/>
      <w:sz w:val="20"/>
      <w:szCs w:val="20"/>
    </w:rPr>
  </w:style>
  <w:style w:type="character" w:styleId="733" w:customStyle="1">
    <w:name w:val="Macro Text Char"/>
    <w:basedOn w:val="702"/>
    <w:link w:val="732"/>
    <w:uiPriority w:val="99"/>
    <w:pPr>
      <w:pBdr/>
      <w:spacing/>
      <w:ind/>
    </w:pPr>
    <w:rPr>
      <w:rFonts w:ascii="Courier" w:hAnsi="Courier"/>
      <w:sz w:val="20"/>
      <w:szCs w:val="20"/>
    </w:rPr>
  </w:style>
  <w:style w:type="paragraph" w:styleId="734">
    <w:name w:val="Quote"/>
    <w:basedOn w:val="688"/>
    <w:next w:val="688"/>
    <w:link w:val="735"/>
    <w:uiPriority w:val="29"/>
    <w:qFormat/>
    <w:pPr>
      <w:pBdr/>
      <w:spacing/>
      <w:ind/>
    </w:pPr>
    <w:rPr>
      <w:i/>
      <w:iCs/>
      <w:color w:val="000000" w:themeColor="text1"/>
    </w:rPr>
  </w:style>
  <w:style w:type="character" w:styleId="735" w:customStyle="1">
    <w:name w:val="Quote Char"/>
    <w:basedOn w:val="702"/>
    <w:link w:val="734"/>
    <w:uiPriority w:val="29"/>
    <w:pPr>
      <w:pBdr/>
      <w:spacing/>
      <w:ind/>
    </w:pPr>
    <w:rPr>
      <w:i/>
      <w:iCs/>
      <w:color w:val="000000" w:themeColor="text1"/>
    </w:rPr>
  </w:style>
  <w:style w:type="character" w:styleId="736" w:customStyle="1">
    <w:name w:val="Heading 4 Char"/>
    <w:basedOn w:val="702"/>
    <w:link w:val="696"/>
    <w:uiPriority w:val="9"/>
    <w:semiHidden/>
    <w:pPr>
      <w:pBdr/>
      <w:spacing/>
      <w:ind/>
    </w:pPr>
    <w:rPr>
      <w:rFonts w:asciiTheme="majorHAnsi" w:hAnsiTheme="majorHAnsi" w:eastAsiaTheme="majorEastAsia" w:cstheme="majorBidi"/>
      <w:b/>
      <w:bCs/>
      <w:i/>
      <w:iCs/>
      <w:color w:val="4f81bd" w:themeColor="accent1"/>
    </w:rPr>
  </w:style>
  <w:style w:type="character" w:styleId="737" w:customStyle="1">
    <w:name w:val="Heading 5 Char"/>
    <w:basedOn w:val="702"/>
    <w:link w:val="697"/>
    <w:uiPriority w:val="9"/>
    <w:semiHidden/>
    <w:pPr>
      <w:pBdr/>
      <w:spacing/>
      <w:ind/>
    </w:pPr>
    <w:rPr>
      <w:rFonts w:asciiTheme="majorHAnsi" w:hAnsiTheme="majorHAnsi" w:eastAsiaTheme="majorEastAsia" w:cstheme="majorBidi"/>
      <w:color w:val="243f60" w:themeColor="accent1" w:themeShade="7F"/>
    </w:rPr>
  </w:style>
  <w:style w:type="character" w:styleId="738" w:customStyle="1">
    <w:name w:val="Heading 6 Char"/>
    <w:basedOn w:val="702"/>
    <w:link w:val="698"/>
    <w:uiPriority w:val="9"/>
    <w:semiHidden/>
    <w:pPr>
      <w:pBdr/>
      <w:spacing/>
      <w:ind/>
    </w:pPr>
    <w:rPr>
      <w:rFonts w:asciiTheme="majorHAnsi" w:hAnsiTheme="majorHAnsi" w:eastAsiaTheme="majorEastAsia" w:cstheme="majorBidi"/>
      <w:i/>
      <w:iCs/>
      <w:color w:val="243f60" w:themeColor="accent1" w:themeShade="7F"/>
    </w:rPr>
  </w:style>
  <w:style w:type="character" w:styleId="739" w:customStyle="1">
    <w:name w:val="Heading 7 Char"/>
    <w:basedOn w:val="702"/>
    <w:link w:val="699"/>
    <w:uiPriority w:val="9"/>
    <w:semiHidden/>
    <w:pPr>
      <w:pBdr/>
      <w:spacing/>
      <w:ind/>
    </w:pPr>
    <w:rPr>
      <w:rFonts w:asciiTheme="majorHAnsi" w:hAnsiTheme="majorHAnsi" w:eastAsiaTheme="majorEastAsia" w:cstheme="majorBidi"/>
      <w:i/>
      <w:iCs/>
      <w:color w:val="404040" w:themeColor="text1" w:themeTint="BF"/>
    </w:rPr>
  </w:style>
  <w:style w:type="character" w:styleId="740" w:customStyle="1">
    <w:name w:val="Heading 8 Char"/>
    <w:basedOn w:val="702"/>
    <w:link w:val="700"/>
    <w:uiPriority w:val="9"/>
    <w:semiHidden/>
    <w:pPr>
      <w:pBdr/>
      <w:spacing/>
      <w:ind/>
    </w:pPr>
    <w:rPr>
      <w:rFonts w:asciiTheme="majorHAnsi" w:hAnsiTheme="majorHAnsi" w:eastAsiaTheme="majorEastAsia" w:cstheme="majorBidi"/>
      <w:color w:val="4f81bd" w:themeColor="accent1"/>
      <w:sz w:val="20"/>
      <w:szCs w:val="20"/>
    </w:rPr>
  </w:style>
  <w:style w:type="character" w:styleId="741" w:customStyle="1">
    <w:name w:val="Heading 9 Char"/>
    <w:basedOn w:val="702"/>
    <w:link w:val="701"/>
    <w:uiPriority w:val="9"/>
    <w:semiHidden/>
    <w:pPr>
      <w:pBdr/>
      <w:spacing/>
      <w:ind/>
    </w:pPr>
    <w:rPr>
      <w:rFonts w:asciiTheme="majorHAnsi" w:hAnsiTheme="majorHAnsi" w:eastAsiaTheme="majorEastAsia" w:cstheme="majorBidi"/>
      <w:i/>
      <w:iCs/>
      <w:color w:val="404040" w:themeColor="text1" w:themeTint="BF"/>
      <w:sz w:val="20"/>
      <w:szCs w:val="20"/>
    </w:rPr>
  </w:style>
  <w:style w:type="paragraph" w:styleId="742">
    <w:name w:val="Caption"/>
    <w:basedOn w:val="688"/>
    <w:next w:val="688"/>
    <w:uiPriority w:val="35"/>
    <w:semiHidden/>
    <w:unhideWhenUsed/>
    <w:qFormat/>
    <w:pPr>
      <w:pBdr/>
      <w:spacing w:line="240" w:lineRule="auto"/>
      <w:ind/>
    </w:pPr>
    <w:rPr>
      <w:b/>
      <w:bCs/>
      <w:color w:val="4f81bd" w:themeColor="accent1"/>
      <w:sz w:val="18"/>
      <w:szCs w:val="18"/>
    </w:rPr>
  </w:style>
  <w:style w:type="character" w:styleId="743">
    <w:name w:val="Strong"/>
    <w:basedOn w:val="702"/>
    <w:uiPriority w:val="22"/>
    <w:qFormat/>
    <w:pPr>
      <w:pBdr/>
      <w:spacing/>
      <w:ind/>
    </w:pPr>
    <w:rPr>
      <w:b/>
      <w:bCs/>
    </w:rPr>
  </w:style>
  <w:style w:type="character" w:styleId="744">
    <w:name w:val="Emphasis"/>
    <w:basedOn w:val="702"/>
    <w:uiPriority w:val="20"/>
    <w:qFormat/>
    <w:pPr>
      <w:pBdr/>
      <w:spacing/>
      <w:ind/>
    </w:pPr>
    <w:rPr>
      <w:i/>
      <w:iCs/>
    </w:rPr>
  </w:style>
  <w:style w:type="paragraph" w:styleId="745">
    <w:name w:val="Intense Quote"/>
    <w:basedOn w:val="688"/>
    <w:next w:val="688"/>
    <w:link w:val="746"/>
    <w:uiPriority w:val="30"/>
    <w:qFormat/>
    <w:pPr>
      <w:pBdr>
        <w:bottom w:val="single" w:color="4f81bd" w:themeColor="accent1" w:sz="4" w:space="4"/>
      </w:pBdr>
      <w:spacing w:after="280" w:before="200"/>
      <w:ind w:right="936" w:left="936"/>
    </w:pPr>
    <w:rPr>
      <w:b/>
      <w:bCs/>
      <w:i/>
      <w:iCs/>
      <w:color w:val="4f81bd" w:themeColor="accent1"/>
    </w:rPr>
  </w:style>
  <w:style w:type="character" w:styleId="746" w:customStyle="1">
    <w:name w:val="Intense Quote Char"/>
    <w:basedOn w:val="702"/>
    <w:link w:val="745"/>
    <w:uiPriority w:val="30"/>
    <w:pPr>
      <w:pBdr/>
      <w:spacing/>
      <w:ind/>
    </w:pPr>
    <w:rPr>
      <w:b/>
      <w:bCs/>
      <w:i/>
      <w:iCs/>
      <w:color w:val="4f81bd" w:themeColor="accent1"/>
    </w:rPr>
  </w:style>
  <w:style w:type="character" w:styleId="747">
    <w:name w:val="Subtle Emphasis"/>
    <w:basedOn w:val="702"/>
    <w:uiPriority w:val="19"/>
    <w:qFormat/>
    <w:pPr>
      <w:pBdr/>
      <w:spacing/>
      <w:ind/>
    </w:pPr>
    <w:rPr>
      <w:i/>
      <w:iCs/>
      <w:color w:val="808080" w:themeColor="text1" w:themeTint="7F"/>
    </w:rPr>
  </w:style>
  <w:style w:type="character" w:styleId="748">
    <w:name w:val="Intense Emphasis"/>
    <w:basedOn w:val="702"/>
    <w:uiPriority w:val="21"/>
    <w:qFormat/>
    <w:pPr>
      <w:pBdr/>
      <w:spacing/>
      <w:ind/>
    </w:pPr>
    <w:rPr>
      <w:b/>
      <w:bCs/>
      <w:i/>
      <w:iCs/>
      <w:color w:val="4f81bd" w:themeColor="accent1"/>
    </w:rPr>
  </w:style>
  <w:style w:type="character" w:styleId="749">
    <w:name w:val="Subtle Reference"/>
    <w:basedOn w:val="702"/>
    <w:uiPriority w:val="31"/>
    <w:qFormat/>
    <w:pPr>
      <w:pBdr/>
      <w:spacing/>
      <w:ind/>
    </w:pPr>
    <w:rPr>
      <w:smallCaps/>
      <w:color w:val="c0504d" w:themeColor="accent2"/>
      <w:u w:val="single"/>
    </w:rPr>
  </w:style>
  <w:style w:type="character" w:styleId="750">
    <w:name w:val="Intense Reference"/>
    <w:basedOn w:val="702"/>
    <w:uiPriority w:val="32"/>
    <w:qFormat/>
    <w:pPr>
      <w:pBdr/>
      <w:spacing/>
      <w:ind/>
    </w:pPr>
    <w:rPr>
      <w:b/>
      <w:bCs/>
      <w:smallCaps/>
      <w:color w:val="c0504d" w:themeColor="accent2"/>
      <w:spacing w:val="5"/>
      <w:u w:val="single"/>
    </w:rPr>
  </w:style>
  <w:style w:type="character" w:styleId="751">
    <w:name w:val="Book Title"/>
    <w:basedOn w:val="702"/>
    <w:uiPriority w:val="33"/>
    <w:qFormat/>
    <w:pPr>
      <w:pBdr/>
      <w:spacing/>
      <w:ind/>
    </w:pPr>
    <w:rPr>
      <w:b/>
      <w:bCs/>
      <w:smallCaps/>
      <w:spacing w:val="5"/>
    </w:rPr>
  </w:style>
  <w:style w:type="paragraph" w:styleId="752">
    <w:name w:val="TOC Heading"/>
    <w:basedOn w:val="693"/>
    <w:next w:val="688"/>
    <w:uiPriority w:val="39"/>
    <w:semiHidden/>
    <w:unhideWhenUsed/>
    <w:qFormat/>
    <w:pPr>
      <w:pBdr/>
      <w:spacing/>
      <w:ind/>
      <w:outlineLvl w:val="9"/>
    </w:pPr>
  </w:style>
  <w:style w:type="table" w:styleId="753">
    <w:name w:val="Table Grid"/>
    <w:basedOn w:val="703"/>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Light Shading"/>
    <w:basedOn w:val="703"/>
    <w:uiPriority w:val="60"/>
    <w:pPr>
      <w:pBdr/>
      <w:spacing w:after="0" w:line="240" w:lineRule="auto"/>
      <w:ind/>
    </w:pPr>
    <w:rPr>
      <w:color w:val="000000" w:themeColor="text1" w:themeShade="BF"/>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left w:val="none" w:color="000000" w:sz="4" w:space="0"/>
          <w:right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Light Shading Accent 1"/>
    <w:basedOn w:val="703"/>
    <w:uiPriority w:val="60"/>
    <w:pPr>
      <w:pBdr/>
      <w:spacing w:after="0" w:line="240" w:lineRule="auto"/>
      <w:ind/>
    </w:pPr>
    <w:rPr>
      <w:color w:val="365f91" w:themeColor="accent1" w:themeShade="BF"/>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Light Shading Accent 2"/>
    <w:basedOn w:val="703"/>
    <w:uiPriority w:val="60"/>
    <w:pPr>
      <w:pBdr/>
      <w:spacing w:after="0" w:line="240" w:lineRule="auto"/>
      <w:ind/>
    </w:pPr>
    <w:rPr>
      <w:color w:val="943634" w:themeColor="accent2" w:themeShade="BF"/>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Light Shading Accent 3"/>
    <w:basedOn w:val="703"/>
    <w:uiPriority w:val="60"/>
    <w:pPr>
      <w:pBdr/>
      <w:spacing w:after="0" w:line="240" w:lineRule="auto"/>
      <w:ind/>
    </w:pPr>
    <w:rPr>
      <w:color w:val="76923c" w:themeColor="accent3" w:themeShade="BF"/>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Light Shading Accent 4"/>
    <w:basedOn w:val="703"/>
    <w:uiPriority w:val="60"/>
    <w:pPr>
      <w:pBdr/>
      <w:spacing w:after="0" w:line="240" w:lineRule="auto"/>
      <w:ind/>
    </w:pPr>
    <w:rPr>
      <w:color w:val="5f497a" w:themeColor="accent4" w:themeShade="BF"/>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Light Shading Accent 5"/>
    <w:basedOn w:val="703"/>
    <w:uiPriority w:val="60"/>
    <w:pPr>
      <w:pBdr/>
      <w:spacing w:after="0" w:line="240" w:lineRule="auto"/>
      <w:ind/>
    </w:pPr>
    <w:rPr>
      <w:color w:val="31849b" w:themeColor="accent5" w:themeShade="BF"/>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Light Shading Accent 6"/>
    <w:basedOn w:val="703"/>
    <w:uiPriority w:val="60"/>
    <w:pPr>
      <w:pBdr/>
      <w:spacing w:after="0" w:line="240" w:lineRule="auto"/>
      <w:ind/>
    </w:pPr>
    <w:rPr>
      <w:color w:val="e36c0a" w:themeColor="accent6" w:themeShade="BF"/>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Light List"/>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Light List Accent 1"/>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Light List Accent 2"/>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Light List Accent 3"/>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ght List Accent 4"/>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ght List Accent 5"/>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ght List Accent 6"/>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ght Grid"/>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tcBorders/>
    </w:tcPr>
    <w:tblStylePr w:type="band1Horz">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ght Grid Accent 1"/>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ght Grid Accent 2"/>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Col">
      <w:rPr>
        <w:rFonts w:asciiTheme="majorHAnsi" w:hAnsiTheme="majorHAnsi" w:eastAsiaTheme="majorEastAsia" w:cstheme="majorBidi"/>
        <w:b/>
        <w:bCs/>
      </w:rPr>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ght Grid Accent 3"/>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Col">
      <w:rPr>
        <w:rFonts w:asciiTheme="majorHAnsi" w:hAnsiTheme="majorHAnsi" w:eastAsiaTheme="majorEastAsia" w:cstheme="majorBidi"/>
        <w:b/>
        <w:bCs/>
      </w:rPr>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ght Grid Accent 4"/>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Col">
      <w:rPr>
        <w:rFonts w:asciiTheme="majorHAnsi" w:hAnsiTheme="majorHAnsi" w:eastAsiaTheme="majorEastAsia" w:cstheme="majorBidi"/>
        <w:b/>
        <w:bCs/>
      </w:rPr>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ght Grid Accent 5"/>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ght Grid Accent 6"/>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Col">
      <w:rPr>
        <w:rFonts w:asciiTheme="majorHAnsi" w:hAnsiTheme="majorHAnsi" w:eastAsiaTheme="majorEastAsia" w:cstheme="majorBidi"/>
        <w:b/>
        <w:bCs/>
      </w:rPr>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Medium Shading 1"/>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Medium Shading 1 Accent 1"/>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Medium Shading 1 Accent 2"/>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Medium Shading 1 Accent 3"/>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Medium Shading 1 Accent 4"/>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Medium Shading 1 Accent 5"/>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Medium Shading 1 Accent 6"/>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Medium Shading 2"/>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000000" w:themeFill="tex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000000" w:themeFill="tex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Medium Shading 2 Accent 1"/>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f81bd" w:themeFill="accen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f81bd" w:themeFill="accen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Medium Shading 2 Accent 2"/>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c0504d" w:themeFill="accent2"/>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c0504d" w:themeFill="accent2"/>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Medium Shading 2 Accent 3"/>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9bbb59" w:themeFill="accent3"/>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9bbb59" w:themeFill="accent3"/>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Medium Shading 2 Accent 4"/>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8064a2" w:themeFill="accent4"/>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8064a2" w:themeFill="accent4"/>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Medium Shading 2 Accent 5"/>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bacc6" w:themeFill="accent5"/>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bacc6" w:themeFill="accent5"/>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Medium Shading 2 Accent 6"/>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f79646" w:themeFill="accent6"/>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f79646" w:themeFill="accent6"/>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Medium List 1"/>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000000" w:themeColor="text1" w:sz="8" w:space="0"/>
        </w:tcBorders>
      </w:tcPr>
    </w:tblStylePr>
    <w:tblStylePr w:type="lastCol">
      <w:rPr>
        <w:b/>
        <w:bCs/>
      </w:rPr>
      <w:pPr>
        <w:pBdr/>
        <w:spacing/>
        <w:ind/>
      </w:pPr>
      <w:tblPr>
        <w:tblBorders/>
      </w:tblPr>
      <w:tcPr>
        <w:tcBorders>
          <w:top w:val="single" w:color="000000" w:themeColor="text1" w:sz="8" w:space="0"/>
          <w:bottom w:val="single" w:color="000000" w:themeColor="text1" w:sz="8" w:space="0"/>
        </w:tcBorders>
      </w:tcPr>
    </w:tblStylePr>
    <w:tblStylePr w:type="lastRow">
      <w:rPr>
        <w:b/>
        <w:bCs/>
        <w:color w:val="1f497d" w:themeColor="text2"/>
      </w:rPr>
      <w:pPr>
        <w:pBdr/>
        <w:spacing/>
        <w:ind/>
      </w:pPr>
      <w:tblPr>
        <w:tblBorders/>
      </w:tblPr>
      <w:tcPr>
        <w:tcBorders>
          <w:top w:val="single" w:color="000000" w:themeColor="text1" w:sz="8" w:space="0"/>
          <w:bottom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Medium List 1 Accent 1"/>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f81bd" w:themeColor="accent1" w:sz="8" w:space="0"/>
        </w:tcBorders>
      </w:tcPr>
    </w:tblStylePr>
    <w:tblStylePr w:type="lastCol">
      <w:rPr>
        <w:b/>
        <w:bCs/>
      </w:rPr>
      <w:pPr>
        <w:pBdr/>
        <w:spacing/>
        <w:ind/>
      </w:pPr>
      <w:tblPr>
        <w:tblBorders/>
      </w:tblPr>
      <w:tcPr>
        <w:tcBorders>
          <w:top w:val="single" w:color="4f81bd" w:themeColor="accent1" w:sz="8" w:space="0"/>
          <w:bottom w:val="single" w:color="4f81bd" w:themeColor="accent1" w:sz="8" w:space="0"/>
        </w:tcBorders>
      </w:tcPr>
    </w:tblStylePr>
    <w:tblStylePr w:type="lastRow">
      <w:rPr>
        <w:b/>
        <w:bCs/>
        <w:color w:val="1f497d" w:themeColor="text2"/>
      </w:rPr>
      <w:pPr>
        <w:pBdr/>
        <w:spacing/>
        <w:ind/>
      </w:pPr>
      <w:tblPr>
        <w:tblBorders/>
      </w:tblPr>
      <w:tcPr>
        <w:tcBorders>
          <w:top w:val="single" w:color="4f81bd" w:themeColor="accent1" w:sz="8" w:space="0"/>
          <w:bottom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Medium List 1 Accent 2"/>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c0504d" w:themeColor="accent2" w:sz="8" w:space="0"/>
        </w:tcBorders>
      </w:tcPr>
    </w:tblStylePr>
    <w:tblStylePr w:type="lastCol">
      <w:rPr>
        <w:b/>
        <w:bCs/>
      </w:rPr>
      <w:pPr>
        <w:pBdr/>
        <w:spacing/>
        <w:ind/>
      </w:pPr>
      <w:tblPr>
        <w:tblBorders/>
      </w:tblPr>
      <w:tcPr>
        <w:tcBorders>
          <w:top w:val="single" w:color="c0504d" w:themeColor="accent2" w:sz="8" w:space="0"/>
          <w:bottom w:val="single" w:color="c0504d" w:themeColor="accent2" w:sz="8" w:space="0"/>
        </w:tcBorders>
      </w:tcPr>
    </w:tblStylePr>
    <w:tblStylePr w:type="lastRow">
      <w:rPr>
        <w:b/>
        <w:bCs/>
        <w:color w:val="1f497d" w:themeColor="text2"/>
      </w:rPr>
      <w:pPr>
        <w:pBdr/>
        <w:spacing/>
        <w:ind/>
      </w:pPr>
      <w:tblPr>
        <w:tblBorders/>
      </w:tblPr>
      <w:tcPr>
        <w:tcBorders>
          <w:top w:val="single" w:color="c0504d" w:themeColor="accent2" w:sz="8" w:space="0"/>
          <w:bottom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Medium List 1 Accent 3"/>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9bbb59" w:themeColor="accent3" w:sz="8" w:space="0"/>
        </w:tcBorders>
      </w:tcPr>
    </w:tblStylePr>
    <w:tblStylePr w:type="lastCol">
      <w:rPr>
        <w:b/>
        <w:bCs/>
      </w:rPr>
      <w:pPr>
        <w:pBdr/>
        <w:spacing/>
        <w:ind/>
      </w:pPr>
      <w:tblPr>
        <w:tblBorders/>
      </w:tblPr>
      <w:tcPr>
        <w:tcBorders>
          <w:top w:val="single" w:color="9bbb59" w:themeColor="accent3" w:sz="8" w:space="0"/>
          <w:bottom w:val="single" w:color="9bbb59" w:themeColor="accent3" w:sz="8" w:space="0"/>
        </w:tcBorders>
      </w:tcPr>
    </w:tblStylePr>
    <w:tblStylePr w:type="lastRow">
      <w:rPr>
        <w:b/>
        <w:bCs/>
        <w:color w:val="1f497d" w:themeColor="text2"/>
      </w:rPr>
      <w:pPr>
        <w:pBdr/>
        <w:spacing/>
        <w:ind/>
      </w:pPr>
      <w:tblPr>
        <w:tblBorders/>
      </w:tblPr>
      <w:tcPr>
        <w:tcBorders>
          <w:top w:val="single" w:color="9bbb59" w:themeColor="accent3" w:sz="8" w:space="0"/>
          <w:bottom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Medium List 1 Accent 4"/>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8064a2" w:themeColor="accent4" w:sz="8" w:space="0"/>
        </w:tcBorders>
      </w:tcPr>
    </w:tblStylePr>
    <w:tblStylePr w:type="lastCol">
      <w:rPr>
        <w:b/>
        <w:bCs/>
      </w:rPr>
      <w:pPr>
        <w:pBdr/>
        <w:spacing/>
        <w:ind/>
      </w:pPr>
      <w:tblPr>
        <w:tblBorders/>
      </w:tblPr>
      <w:tcPr>
        <w:tcBorders>
          <w:top w:val="single" w:color="8064a2" w:themeColor="accent4" w:sz="8" w:space="0"/>
          <w:bottom w:val="single" w:color="8064a2" w:themeColor="accent4" w:sz="8" w:space="0"/>
        </w:tcBorders>
      </w:tcPr>
    </w:tblStylePr>
    <w:tblStylePr w:type="lastRow">
      <w:rPr>
        <w:b/>
        <w:bCs/>
        <w:color w:val="1f497d" w:themeColor="text2"/>
      </w:rPr>
      <w:pPr>
        <w:pBdr/>
        <w:spacing/>
        <w:ind/>
      </w:pPr>
      <w:tblPr>
        <w:tblBorders/>
      </w:tblPr>
      <w:tcPr>
        <w:tcBorders>
          <w:top w:val="single" w:color="8064a2" w:themeColor="accent4" w:sz="8" w:space="0"/>
          <w:bottom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Medium List 1 Accent 5"/>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bacc6" w:themeColor="accent5" w:sz="8" w:space="0"/>
        </w:tcBorders>
      </w:tcPr>
    </w:tblStylePr>
    <w:tblStylePr w:type="lastCol">
      <w:rPr>
        <w:b/>
        <w:bCs/>
      </w:rPr>
      <w:pPr>
        <w:pBdr/>
        <w:spacing/>
        <w:ind/>
      </w:pPr>
      <w:tblPr>
        <w:tblBorders/>
      </w:tblPr>
      <w:tcPr>
        <w:tcBorders>
          <w:top w:val="single" w:color="4bacc6" w:themeColor="accent5" w:sz="8" w:space="0"/>
          <w:bottom w:val="single" w:color="4bacc6" w:themeColor="accent5" w:sz="8" w:space="0"/>
        </w:tcBorders>
      </w:tcPr>
    </w:tblStylePr>
    <w:tblStylePr w:type="lastRow">
      <w:rPr>
        <w:b/>
        <w:bCs/>
        <w:color w:val="1f497d" w:themeColor="text2"/>
      </w:rPr>
      <w:pPr>
        <w:pBdr/>
        <w:spacing/>
        <w:ind/>
      </w:pPr>
      <w:tblPr>
        <w:tblBorders/>
      </w:tblPr>
      <w:tcPr>
        <w:tcBorders>
          <w:top w:val="single" w:color="4bacc6" w:themeColor="accent5" w:sz="8" w:space="0"/>
          <w:bottom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Medium List 1 Accent 6"/>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f79646" w:themeColor="accent6" w:sz="8" w:space="0"/>
        </w:tcBorders>
      </w:tcPr>
    </w:tblStylePr>
    <w:tblStylePr w:type="lastCol">
      <w:rPr>
        <w:b/>
        <w:bCs/>
      </w:rPr>
      <w:pPr>
        <w:pBdr/>
        <w:spacing/>
        <w:ind/>
      </w:pPr>
      <w:tblPr>
        <w:tblBorders/>
      </w:tblPr>
      <w:tcPr>
        <w:tcBorders>
          <w:top w:val="single" w:color="f79646" w:themeColor="accent6" w:sz="8" w:space="0"/>
          <w:bottom w:val="single" w:color="f79646" w:themeColor="accent6" w:sz="8" w:space="0"/>
        </w:tcBorders>
      </w:tcPr>
    </w:tblStylePr>
    <w:tblStylePr w:type="lastRow">
      <w:rPr>
        <w:b/>
        <w:bCs/>
        <w:color w:val="1f497d" w:themeColor="text2"/>
      </w:rPr>
      <w:pPr>
        <w:pBdr/>
        <w:spacing/>
        <w:ind/>
      </w:pPr>
      <w:tblPr>
        <w:tblBorders/>
      </w:tblPr>
      <w:tcPr>
        <w:tcBorders>
          <w:top w:val="single" w:color="f79646" w:themeColor="accent6" w:sz="8" w:space="0"/>
          <w:bottom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Medium List 2"/>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shd w:val="clear" w:color="auto" w:fill="c0c0c0" w:themeFill="text1" w:themeFillTint="3F"/>
        <w:tcBorders>
          <w:top w:val="none" w:color="000000" w:sz="4" w:space="0"/>
          <w:bottom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000000" w:themeColor="tex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000000" w:themeColor="tex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000000" w:themeColor="tex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000000" w:themeColor="tex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Medium List 2 Accent 1"/>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none" w:color="000000" w:sz="4" w:space="0"/>
          <w:bottom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f81bd" w:themeColor="accen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f81bd" w:themeColor="accen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f81bd" w:themeColor="accen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f81bd" w:themeColor="accen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Medium List 2 Accent 2"/>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none" w:color="000000" w:sz="4" w:space="0"/>
          <w:bottom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c0504d" w:themeColor="accent2"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c0504d" w:themeColor="accent2"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c0504d" w:themeColor="accent2"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Medium List 2 Accent 3"/>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none" w:color="000000" w:sz="4" w:space="0"/>
          <w:bottom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9bbb59" w:themeColor="accent3"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9bbb59" w:themeColor="accent3"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9bbb59" w:themeColor="accent3"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Medium List 2 Accent 4"/>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none" w:color="000000" w:sz="4" w:space="0"/>
          <w:bottom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8064a2" w:themeColor="accent4"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8064a2" w:themeColor="accent4"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8064a2" w:themeColor="accent4"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Medium List 2 Accent 5"/>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none" w:color="000000" w:sz="4" w:space="0"/>
          <w:bottom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bacc6" w:themeColor="accent5"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bacc6" w:themeColor="accent5"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bacc6" w:themeColor="accent5"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Medium List 2 Accent 6"/>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none" w:color="000000" w:sz="4" w:space="0"/>
          <w:bottom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f79646" w:themeColor="accent6"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f79646" w:themeColor="accent6"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f79646" w:themeColor="accent6"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Medium Grid 1"/>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04040" w:themeColor="tex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Medium Grid 1 Accent 1"/>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ba0cd" w:themeColor="accen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Medium Grid 1 Accent 2"/>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f7b79" w:themeColor="accent2"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Medium Grid 1 Accent 3"/>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3cc82" w:themeColor="accent3"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Medium Grid 1 Accent 4"/>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f8ab9" w:themeColor="accent4"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Medium Grid 1 Accent 5"/>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8c0d4" w:themeColor="accent5"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Medium Grid 1 Accent 6"/>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9b074" w:themeColor="accent6"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Medium Grid 2"/>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6e6e6" w:themeFill="text1" w:themeFillTint="19"/>
        <w:tcBorders/>
      </w:tcPr>
    </w:tblStylePr>
    <w:tblStylePr w:type="lastCol">
      <w:rPr>
        <w:b w:val="0"/>
        <w:bCs w:val="0"/>
        <w:color w:val="000000" w:themeColor="text1"/>
      </w:rPr>
      <w:pPr>
        <w:pBdr/>
        <w:spacing/>
        <w:ind/>
      </w:pPr>
      <w:tblPr>
        <w:tblBorders/>
      </w:tblPr>
      <w:tcPr>
        <w:shd w:val="clear" w:color="auto" w:fill="cccccc" w:themeFill="tex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Medium Grid 2 Accent 1"/>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2f8" w:themeFill="accent1" w:themeFillTint="19"/>
        <w:tcBorders/>
      </w:tcPr>
    </w:tblStylePr>
    <w:tblStylePr w:type="lastCol">
      <w:rPr>
        <w:b w:val="0"/>
        <w:bCs w:val="0"/>
        <w:color w:val="000000" w:themeColor="text1"/>
      </w:rPr>
      <w:pPr>
        <w:pBdr/>
        <w:spacing/>
        <w:ind/>
      </w:pPr>
      <w:tblPr>
        <w:tblBorders/>
      </w:tblPr>
      <w:tcPr>
        <w:shd w:val="clear" w:color="auto" w:fill="dbe5f1" w:themeFill="accen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Medium Grid 2 Accent 2"/>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8eded" w:themeFill="accent2" w:themeFillTint="19"/>
        <w:tcBorders/>
      </w:tcPr>
    </w:tblStylePr>
    <w:tblStylePr w:type="lastCol">
      <w:rPr>
        <w:b w:val="0"/>
        <w:bCs w:val="0"/>
        <w:color w:val="000000" w:themeColor="text1"/>
      </w:rPr>
      <w:pPr>
        <w:pBdr/>
        <w:spacing/>
        <w:ind/>
      </w:pPr>
      <w:tblPr>
        <w:tblBorders/>
      </w:tblPr>
      <w:tcPr>
        <w:shd w:val="clear" w:color="auto" w:fill="f2dbdb" w:themeFill="accent2"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Medium Grid 2 Accent 3"/>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5f8ee" w:themeFill="accent3" w:themeFillTint="19"/>
        <w:tcBorders/>
      </w:tcPr>
    </w:tblStylePr>
    <w:tblStylePr w:type="lastCol">
      <w:rPr>
        <w:b w:val="0"/>
        <w:bCs w:val="0"/>
        <w:color w:val="000000" w:themeColor="text1"/>
      </w:rPr>
      <w:pPr>
        <w:pBdr/>
        <w:spacing/>
        <w:ind/>
      </w:pPr>
      <w:tblPr>
        <w:tblBorders/>
      </w:tblPr>
      <w:tcPr>
        <w:shd w:val="clear" w:color="auto" w:fill="eaf1dd" w:themeFill="accent3"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Medium Grid 2 Accent 4"/>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2eff6" w:themeFill="accent4" w:themeFillTint="19"/>
        <w:tcBorders/>
      </w:tcPr>
    </w:tblStylePr>
    <w:tblStylePr w:type="lastCol">
      <w:rPr>
        <w:b w:val="0"/>
        <w:bCs w:val="0"/>
        <w:color w:val="000000" w:themeColor="text1"/>
      </w:rPr>
      <w:pPr>
        <w:pBdr/>
        <w:spacing/>
        <w:ind/>
      </w:pPr>
      <w:tblPr>
        <w:tblBorders/>
      </w:tblPr>
      <w:tcPr>
        <w:shd w:val="clear" w:color="auto" w:fill="e5dfec" w:themeFill="accent4"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Medium Grid 2 Accent 5"/>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6f9" w:themeFill="accent5" w:themeFillTint="19"/>
        <w:tcBorders/>
      </w:tcPr>
    </w:tblStylePr>
    <w:tblStylePr w:type="lastCol">
      <w:rPr>
        <w:b w:val="0"/>
        <w:bCs w:val="0"/>
        <w:color w:val="000000" w:themeColor="text1"/>
      </w:rPr>
      <w:pPr>
        <w:pBdr/>
        <w:spacing/>
        <w:ind/>
      </w:pPr>
      <w:tblPr>
        <w:tblBorders/>
      </w:tblPr>
      <w:tcPr>
        <w:shd w:val="clear" w:color="auto" w:fill="daeef3" w:themeFill="accent5"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Medium Grid 2 Accent 6"/>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ef4ec" w:themeFill="accent6" w:themeFillTint="19"/>
        <w:tcBorders/>
      </w:tcPr>
    </w:tblStylePr>
    <w:tblStylePr w:type="lastCol">
      <w:rPr>
        <w:b w:val="0"/>
        <w:bCs w:val="0"/>
        <w:color w:val="000000" w:themeColor="text1"/>
      </w:rPr>
      <w:pPr>
        <w:pBdr/>
        <w:spacing/>
        <w:ind/>
      </w:pPr>
      <w:tblPr>
        <w:tblBorders/>
      </w:tblPr>
      <w:tcPr>
        <w:shd w:val="clear" w:color="auto" w:fill="fde9d9" w:themeFill="accent6"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Medium Grid 3"/>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000000" w:themeFill="tex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000000" w:themeFill="tex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000000" w:themeFill="tex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000000" w:themeFill="tex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Medium Grid 3 Accent 1"/>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f81bd"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Medium Grid 3 Accent 2"/>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c0504d" w:themeFill="accent2"/>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c0504d" w:themeFill="accent2"/>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c0504d" w:themeFill="accent2"/>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c0504d" w:themeFill="accent2"/>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Medium Grid 3 Accent 3"/>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9bbb59" w:themeFill="accent3"/>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9bbb59" w:themeFill="accent3"/>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9bbb59" w:themeFill="accent3"/>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9bbb59" w:themeFill="accent3"/>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Medium Grid 3 Accent 4"/>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8064a2" w:themeFill="accent4"/>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8064a2" w:themeFill="accent4"/>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8064a2" w:themeFill="accent4"/>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8064a2" w:themeFill="accent4"/>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Medium Grid 3 Accent 5"/>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bacc6" w:themeFill="accent5"/>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bacc6" w:themeFill="accent5"/>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bacc6" w:themeFill="accent5"/>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bacc6" w:themeFill="accent5"/>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Medium Grid 3 Accent 6"/>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f79646" w:themeFill="accent6"/>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f79646" w:themeFill="accent6"/>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f79646" w:themeFill="accent6"/>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f79646" w:themeFill="accent6"/>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Dark List"/>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000000" w:themeFill="text1"/>
      <w:tcBorders/>
    </w:tcPr>
    <w:tblStylePr w:type="band1Horz">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000000" w:themeFill="tex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000000" w:themeFill="tex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Dark List Accent 1"/>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f81bd" w:themeFill="accent1"/>
      <w:tcBorders/>
    </w:tcPr>
    <w:tblStylePr w:type="band1Horz">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65f91" w:themeFill="accen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43f60" w:themeFill="accen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Dark List Accent 2"/>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c0504d" w:themeFill="accent2"/>
      <w:tcBorders/>
    </w:tcPr>
    <w:tblStylePr w:type="band1Horz">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943634" w:themeFill="accent2"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622423" w:themeFill="accent2"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Dark List Accent 3"/>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9bbb59" w:themeFill="accent3"/>
      <w:tcBorders/>
    </w:tcPr>
    <w:tblStylePr w:type="band1Horz">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76923c" w:themeFill="accent3"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4e6128" w:themeFill="accent3"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Dark List Accent 4"/>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8064a2" w:themeFill="accent4"/>
      <w:tcBorders/>
    </w:tcPr>
    <w:tblStylePr w:type="band1Horz">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5f497a" w:themeFill="accent4"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3f3151" w:themeFill="accent4"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Dark List Accent 5"/>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bacc6" w:themeFill="accent5"/>
      <w:tcBorders/>
    </w:tcPr>
    <w:tblStylePr w:type="band1Horz">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1849b" w:themeFill="accent5"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05867" w:themeFill="accent5"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Dark List Accent 6"/>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f79646" w:themeFill="accent6"/>
      <w:tcBorders/>
    </w:tcPr>
    <w:tblStylePr w:type="band1Horz">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e36c0a" w:themeFill="accent6"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974706" w:themeFill="accent6"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Colorful Shading"/>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999999" w:themeFill="tex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000000" w:themeFill="tex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Colorful Shading Accent 1"/>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b8cce4"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c4c74" w:themeFill="accen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Colorful Shading Accent 2"/>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e5b8b7" w:themeFill="accent2"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772c2a" w:themeFill="accent2"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Colorful Shading Accent 3"/>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d6e3bc" w:themeFill="accent3"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5e7530" w:themeFill="accent3" w:themeFillShade="99"/>
        <w:tcBorders>
          <w:top w:val="single" w:color="ffffff" w:themeColor="background1"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Colorful Shading Accent 4"/>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ccc0d9"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4c3b62" w:themeFill="accent4"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Colorful Shading Accent 5"/>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b6dde8"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76a7c" w:themeFill="accent5"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Colorful Shading Accent 6"/>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d4b4" w:themeFill="accent6"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b65608" w:themeFill="accent6"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Colorful List"/>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6e6e6" w:themeFill="text1" w:themeFillTint="19"/>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0c0c0" w:themeFill="tex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Colorful List Accent 1"/>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2f8" w:themeFill="accent1" w:themeFillTint="19"/>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3dfee" w:themeFill="accen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Colorful List Accent 2"/>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8eded" w:themeFill="accent2" w:themeFillTint="19"/>
      <w:tcBorders/>
    </w:tcPr>
    <w:tblStylePr w:type="band1Horz">
      <w:pPr>
        <w:pBdr/>
        <w:spacing/>
        <w:ind/>
      </w:pPr>
      <w:tblPr>
        <w:tblBorders/>
      </w:tblPr>
      <w:tcPr>
        <w:shd w:val="clear" w:color="auto" w:fill="f2dbdb" w:themeFill="accent2" w:themeFillTint="33"/>
        <w:tcBorders/>
      </w:tcPr>
    </w:tblStylePr>
    <w:tblStylePr w:type="band1Vert">
      <w:pPr>
        <w:pBdr/>
        <w:spacing/>
        <w:ind/>
      </w:pPr>
      <w:tblPr>
        <w:tblBorders/>
      </w:tblPr>
      <w:tcPr>
        <w:shd w:val="clear" w:color="auto" w:fill="efd3d2" w:themeFill="accent2"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Colorful List Accent 3"/>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5f8ee" w:themeFill="accent3" w:themeFillTint="19"/>
      <w:tcBorders/>
    </w:tcPr>
    <w:tblStylePr w:type="band1Horz">
      <w:pPr>
        <w:pBdr/>
        <w:spacing/>
        <w:ind/>
      </w:pPr>
      <w:tblPr>
        <w:tblBorders/>
      </w:tblPr>
      <w:tcPr>
        <w:shd w:val="clear" w:color="auto" w:fill="eaf1dd" w:themeFill="accent3" w:themeFillTint="33"/>
        <w:tcBorders/>
      </w:tcPr>
    </w:tblStylePr>
    <w:tblStylePr w:type="band1Vert">
      <w:pPr>
        <w:pBdr/>
        <w:spacing/>
        <w:ind/>
      </w:pPr>
      <w:tblPr>
        <w:tblBorders/>
      </w:tblPr>
      <w:tcPr>
        <w:shd w:val="clear" w:color="auto" w:fill="e6eed5" w:themeFill="accent3"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664e82" w:themeFill="accent4"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664e82" w:themeColor="accent4"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Colorful List Accent 4"/>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2eff6" w:themeFill="accent4" w:themeFillTint="19"/>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dfd8e8" w:themeFill="accent4"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7e9c40" w:themeFill="accent3"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7e9c40" w:themeColor="accent3"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Colorful List Accent 5"/>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6f9" w:themeFill="accent5" w:themeFillTint="19"/>
      <w:tcBorders/>
    </w:tcPr>
    <w:tblStylePr w:type="band1Horz">
      <w:pPr>
        <w:pBdr/>
        <w:spacing/>
        <w:ind/>
      </w:pPr>
      <w:tblPr>
        <w:tblBorders/>
      </w:tblPr>
      <w:tcPr>
        <w:shd w:val="clear" w:color="auto" w:fill="daeef3" w:themeFill="accent5" w:themeFillTint="33"/>
        <w:tcBorders/>
      </w:tcPr>
    </w:tblStylePr>
    <w:tblStylePr w:type="band1Vert">
      <w:pPr>
        <w:pBdr/>
        <w:spacing/>
        <w:ind/>
      </w:pPr>
      <w:tblPr>
        <w:tblBorders/>
      </w:tblPr>
      <w:tcPr>
        <w:shd w:val="clear" w:color="auto" w:fill="d2eaf1" w:themeFill="accent5"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f2730a" w:themeFill="accent6"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f2730a" w:themeColor="accent6"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Colorful List Accent 6"/>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ef4ec" w:themeFill="accent6" w:themeFillTint="19"/>
      <w:tcBorders/>
    </w:tcPr>
    <w:tblStylePr w:type="band1Horz">
      <w:pPr>
        <w:pBdr/>
        <w:spacing/>
        <w:ind/>
      </w:pPr>
      <w:tblPr>
        <w:tblBorders/>
      </w:tblPr>
      <w:tcPr>
        <w:shd w:val="clear" w:color="auto" w:fill="fde9d9" w:themeFill="accent6" w:themeFillTint="33"/>
        <w:tcBorders/>
      </w:tcPr>
    </w:tblStylePr>
    <w:tblStylePr w:type="band1Vert">
      <w:pPr>
        <w:pBdr/>
        <w:spacing/>
        <w:ind/>
      </w:pPr>
      <w:tblPr>
        <w:tblBorders/>
      </w:tblPr>
      <w:tcPr>
        <w:shd w:val="clear" w:color="auto" w:fill="fde4d0" w:themeFill="accent6"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348da5" w:themeFill="accent5"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348da5" w:themeColor="accent5"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Colorful Grid"/>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cccccc" w:themeFill="text1" w:themeFillTint="33"/>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BF"/>
        <w:tcBorders/>
      </w:tcPr>
    </w:tblStylePr>
    <w:tblStylePr w:type="firstRow">
      <w:rPr>
        <w:b/>
        <w:bCs/>
      </w:rPr>
      <w:pPr>
        <w:pBdr/>
        <w:spacing/>
        <w:ind/>
      </w:pPr>
      <w:tblPr>
        <w:tblBorders/>
      </w:tblPr>
      <w:tcPr>
        <w:shd w:val="clear" w:color="auto" w:fill="999999" w:themeFill="text1" w:themeFillTint="66"/>
        <w:tcBorders/>
      </w:tcPr>
    </w:tblStylePr>
    <w:tblStylePr w:type="lastCol">
      <w:rPr>
        <w:color w:val="ffffff" w:themeColor="background1"/>
      </w:rPr>
      <w:pPr>
        <w:pBdr/>
        <w:spacing/>
        <w:ind/>
      </w:pPr>
      <w:tblPr>
        <w:tblBorders/>
      </w:tblPr>
      <w:tcPr>
        <w:shd w:val="clear" w:color="auto" w:fill="000000" w:themeFill="text1" w:themeFillShade="BF"/>
        <w:tcBorders/>
      </w:tcPr>
    </w:tblStylePr>
    <w:tblStylePr w:type="lastRow">
      <w:rPr>
        <w:b/>
        <w:bCs/>
        <w:color w:val="000000" w:themeColor="text1"/>
      </w:rPr>
      <w:pPr>
        <w:pBdr/>
        <w:spacing/>
        <w:ind/>
      </w:pPr>
      <w:tblPr>
        <w:tblBorders/>
      </w:tblPr>
      <w:tcPr>
        <w:shd w:val="clear" w:color="auto" w:fill="999999" w:themeFill="tex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Colorful Grid Accent 1"/>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be5f1" w:themeFill="accent1" w:themeFillTint="33"/>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65f91" w:themeFill="accent1" w:themeFillShade="BF"/>
        <w:tcBorders/>
      </w:tcPr>
    </w:tblStylePr>
    <w:tblStylePr w:type="firstRow">
      <w:rPr>
        <w:b/>
        <w:bCs/>
      </w:rPr>
      <w:pPr>
        <w:pBdr/>
        <w:spacing/>
        <w:ind/>
      </w:pPr>
      <w:tblPr>
        <w:tblBorders/>
      </w:tblPr>
      <w:tcPr>
        <w:shd w:val="clear" w:color="auto" w:fill="b8cce4" w:themeFill="accent1" w:themeFillTint="66"/>
        <w:tcBorders/>
      </w:tcPr>
    </w:tblStylePr>
    <w:tblStylePr w:type="lastCol">
      <w:rPr>
        <w:color w:val="ffffff" w:themeColor="background1"/>
      </w:rPr>
      <w:pPr>
        <w:pBdr/>
        <w:spacing/>
        <w:ind/>
      </w:pPr>
      <w:tblPr>
        <w:tblBorders/>
      </w:tblPr>
      <w:tcPr>
        <w:shd w:val="clear" w:color="auto" w:fill="365f91" w:themeFill="accent1" w:themeFillShade="BF"/>
        <w:tcBorders/>
      </w:tcPr>
    </w:tblStylePr>
    <w:tblStylePr w:type="lastRow">
      <w:rPr>
        <w:b/>
        <w:bCs/>
        <w:color w:val="000000" w:themeColor="text1"/>
      </w:rPr>
      <w:pPr>
        <w:pBdr/>
        <w:spacing/>
        <w:ind/>
      </w:pPr>
      <w:tblPr>
        <w:tblBorders/>
      </w:tblPr>
      <w:tcPr>
        <w:shd w:val="clear" w:color="auto" w:fill="b8cce4" w:themeFill="accen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Colorful Grid Accent 2"/>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2dbdb" w:themeFill="accent2" w:themeFillTint="33"/>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943634" w:themeFill="accent2" w:themeFillShade="BF"/>
        <w:tcBorders/>
      </w:tcPr>
    </w:tblStylePr>
    <w:tblStylePr w:type="firstRow">
      <w:rPr>
        <w:b/>
        <w:bCs/>
      </w:rPr>
      <w:pPr>
        <w:pBdr/>
        <w:spacing/>
        <w:ind/>
      </w:pPr>
      <w:tblPr>
        <w:tblBorders/>
      </w:tblPr>
      <w:tcPr>
        <w:shd w:val="clear" w:color="auto" w:fill="e5b8b7" w:themeFill="accent2" w:themeFillTint="66"/>
        <w:tcBorders/>
      </w:tcPr>
    </w:tblStylePr>
    <w:tblStylePr w:type="lastCol">
      <w:rPr>
        <w:color w:val="ffffff" w:themeColor="background1"/>
      </w:rPr>
      <w:pPr>
        <w:pBdr/>
        <w:spacing/>
        <w:ind/>
      </w:pPr>
      <w:tblPr>
        <w:tblBorders/>
      </w:tblPr>
      <w:tcPr>
        <w:shd w:val="clear" w:color="auto" w:fill="943634" w:themeFill="accent2" w:themeFillShade="BF"/>
        <w:tcBorders/>
      </w:tcPr>
    </w:tblStylePr>
    <w:tblStylePr w:type="lastRow">
      <w:rPr>
        <w:b/>
        <w:bCs/>
        <w:color w:val="000000" w:themeColor="text1"/>
      </w:rPr>
      <w:pPr>
        <w:pBdr/>
        <w:spacing/>
        <w:ind/>
      </w:pPr>
      <w:tblPr>
        <w:tblBorders/>
      </w:tblPr>
      <w:tcPr>
        <w:shd w:val="clear" w:color="auto" w:fill="e5b8b7" w:themeFill="accent2"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Colorful Grid Accent 3"/>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af1dd" w:themeFill="accent3" w:themeFillTint="33"/>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6923c" w:themeFill="accent3" w:themeFillShade="BF"/>
        <w:tcBorders/>
      </w:tcPr>
    </w:tblStylePr>
    <w:tblStylePr w:type="firstRow">
      <w:rPr>
        <w:b/>
        <w:bCs/>
      </w:rPr>
      <w:pPr>
        <w:pBdr/>
        <w:spacing/>
        <w:ind/>
      </w:pPr>
      <w:tblPr>
        <w:tblBorders/>
      </w:tblPr>
      <w:tcPr>
        <w:shd w:val="clear" w:color="auto" w:fill="d6e3bc" w:themeFill="accent3" w:themeFillTint="66"/>
        <w:tcBorders/>
      </w:tcPr>
    </w:tblStylePr>
    <w:tblStylePr w:type="lastCol">
      <w:rPr>
        <w:color w:val="ffffff" w:themeColor="background1"/>
      </w:rPr>
      <w:pPr>
        <w:pBdr/>
        <w:spacing/>
        <w:ind/>
      </w:pPr>
      <w:tblPr>
        <w:tblBorders/>
      </w:tblPr>
      <w:tcPr>
        <w:shd w:val="clear" w:color="auto" w:fill="76923c" w:themeFill="accent3" w:themeFillShade="BF"/>
        <w:tcBorders/>
      </w:tcPr>
    </w:tblStylePr>
    <w:tblStylePr w:type="lastRow">
      <w:rPr>
        <w:b/>
        <w:bCs/>
        <w:color w:val="000000" w:themeColor="text1"/>
      </w:rPr>
      <w:pPr>
        <w:pBdr/>
        <w:spacing/>
        <w:ind/>
      </w:pPr>
      <w:tblPr>
        <w:tblBorders/>
      </w:tblPr>
      <w:tcPr>
        <w:shd w:val="clear" w:color="auto" w:fill="d6e3bc" w:themeFill="accent3"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Colorful Grid Accent 4"/>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5dfec" w:themeFill="accent4" w:themeFillTint="33"/>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f497a" w:themeFill="accent4" w:themeFillShade="BF"/>
        <w:tcBorders/>
      </w:tcPr>
    </w:tblStylePr>
    <w:tblStylePr w:type="firstRow">
      <w:rPr>
        <w:b/>
        <w:bCs/>
      </w:rPr>
      <w:pPr>
        <w:pBdr/>
        <w:spacing/>
        <w:ind/>
      </w:pPr>
      <w:tblPr>
        <w:tblBorders/>
      </w:tblPr>
      <w:tcPr>
        <w:shd w:val="clear" w:color="auto" w:fill="ccc0d9" w:themeFill="accent4" w:themeFillTint="66"/>
        <w:tcBorders/>
      </w:tcPr>
    </w:tblStylePr>
    <w:tblStylePr w:type="lastCol">
      <w:rPr>
        <w:color w:val="ffffff" w:themeColor="background1"/>
      </w:rPr>
      <w:pPr>
        <w:pBdr/>
        <w:spacing/>
        <w:ind/>
      </w:pPr>
      <w:tblPr>
        <w:tblBorders/>
      </w:tblPr>
      <w:tcPr>
        <w:shd w:val="clear" w:color="auto" w:fill="5f497a" w:themeFill="accent4" w:themeFillShade="BF"/>
        <w:tcBorders/>
      </w:tcPr>
    </w:tblStylePr>
    <w:tblStylePr w:type="lastRow">
      <w:rPr>
        <w:b/>
        <w:bCs/>
        <w:color w:val="000000" w:themeColor="text1"/>
      </w:rPr>
      <w:pPr>
        <w:pBdr/>
        <w:spacing/>
        <w:ind/>
      </w:pPr>
      <w:tblPr>
        <w:tblBorders/>
      </w:tblPr>
      <w:tcPr>
        <w:shd w:val="clear" w:color="auto" w:fill="ccc0d9" w:themeFill="accent4"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Colorful Grid Accent 5"/>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aeef3" w:themeFill="accent5" w:themeFillTint="33"/>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1849b" w:themeFill="accent5" w:themeFillShade="BF"/>
        <w:tcBorders/>
      </w:tcPr>
    </w:tblStylePr>
    <w:tblStylePr w:type="firstRow">
      <w:rPr>
        <w:b/>
        <w:bCs/>
      </w:rPr>
      <w:pPr>
        <w:pBdr/>
        <w:spacing/>
        <w:ind/>
      </w:pPr>
      <w:tblPr>
        <w:tblBorders/>
      </w:tblPr>
      <w:tcPr>
        <w:shd w:val="clear" w:color="auto" w:fill="b6dde8" w:themeFill="accent5" w:themeFillTint="66"/>
        <w:tcBorders/>
      </w:tcPr>
    </w:tblStylePr>
    <w:tblStylePr w:type="lastCol">
      <w:rPr>
        <w:color w:val="ffffff" w:themeColor="background1"/>
      </w:rPr>
      <w:pPr>
        <w:pBdr/>
        <w:spacing/>
        <w:ind/>
      </w:pPr>
      <w:tblPr>
        <w:tblBorders/>
      </w:tblPr>
      <w:tcPr>
        <w:shd w:val="clear" w:color="auto" w:fill="31849b" w:themeFill="accent5" w:themeFillShade="BF"/>
        <w:tcBorders/>
      </w:tcPr>
    </w:tblStylePr>
    <w:tblStylePr w:type="lastRow">
      <w:rPr>
        <w:b/>
        <w:bCs/>
        <w:color w:val="000000" w:themeColor="text1"/>
      </w:rPr>
      <w:pPr>
        <w:pBdr/>
        <w:spacing/>
        <w:ind/>
      </w:pPr>
      <w:tblPr>
        <w:tblBorders/>
      </w:tblPr>
      <w:tcPr>
        <w:shd w:val="clear" w:color="auto" w:fill="b6dde8" w:themeFill="accent5"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Colorful Grid Accent 6"/>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de9d9" w:themeFill="accent6" w:themeFillTint="33"/>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e36c0a" w:themeFill="accent6" w:themeFillShade="BF"/>
        <w:tcBorders/>
      </w:tcPr>
    </w:tblStylePr>
    <w:tblStylePr w:type="firstRow">
      <w:rPr>
        <w:b/>
        <w:bCs/>
      </w:rPr>
      <w:pPr>
        <w:pBdr/>
        <w:spacing/>
        <w:ind/>
      </w:pPr>
      <w:tblPr>
        <w:tblBorders/>
      </w:tblPr>
      <w:tcPr>
        <w:shd w:val="clear" w:color="auto" w:fill="fbd4b4" w:themeFill="accent6" w:themeFillTint="66"/>
        <w:tcBorders/>
      </w:tcPr>
    </w:tblStylePr>
    <w:tblStylePr w:type="lastCol">
      <w:rPr>
        <w:color w:val="ffffff" w:themeColor="background1"/>
      </w:rPr>
      <w:pPr>
        <w:pBdr/>
        <w:spacing/>
        <w:ind/>
      </w:pPr>
      <w:tblPr>
        <w:tblBorders/>
      </w:tblPr>
      <w:tcPr>
        <w:shd w:val="clear" w:color="auto" w:fill="e36c0a" w:themeFill="accent6" w:themeFillShade="BF"/>
        <w:tcBorders/>
      </w:tcPr>
    </w:tblStylePr>
    <w:tblStylePr w:type="lastRow">
      <w:rPr>
        <w:b/>
        <w:bCs/>
        <w:color w:val="000000" w:themeColor="text1"/>
      </w:rPr>
      <w:pPr>
        <w:pBdr/>
        <w:spacing/>
        <w:ind/>
      </w:pPr>
      <w:tblPr>
        <w:tblBorders/>
      </w:tblPr>
      <w:tcPr>
        <w:shd w:val="clear" w:color="auto" w:fill="fbd4b4" w:themeFill="accent6"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customXml" Target="../customXml/item1.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ONLYOFFICE/9.0.4.50</Application>
  <DocSecurity>0</DocSecurity>
  <ScaleCrop>0</ScaleCrop>
  <HeadingPairs>
    <vt:vector size="0" baseType="variant"/>
  </HeadingPairs>
  <TitlesOfParts>
    <vt:vector size="0" baseType="lpstr"/>
  </TitlesOfParts>
  <Manager/>
  <Company/>
  <LinksUpToDate>0</LinksUpToDate>
  <SharedDoc>0</SharedDoc>
  <HyperlinkBase/>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revision>2</cp:revision>
  <dcterms:created xsi:type="dcterms:W3CDTF">2013-12-23T23:15:00Z</dcterms:created>
  <dcterms:modified xsi:type="dcterms:W3CDTF">2025-11-25T07:30:14Z</dcterms:modified>
  <cp:category/>
</cp:coreProperties>
</file>