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77777777"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5003A52D" wp14:editId="36E47D59">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BB013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76A99C8A"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EC0C3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77777777" w:rsidR="006A3E1F" w:rsidRDefault="00523D5F">
          <w:r>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BB013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BB013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3D47E993"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77777777" w:rsidR="008662B7" w:rsidRDefault="008662B7">
      <w:pPr>
        <w:rPr>
          <w:sz w:val="24"/>
          <w:szCs w:val="24"/>
        </w:rPr>
      </w:pPr>
      <w:r>
        <w:rPr>
          <w:noProof/>
          <w:sz w:val="24"/>
          <w:szCs w:val="24"/>
          <w:lang w:eastAsia="de-AT"/>
        </w:rPr>
        <w:drawing>
          <wp:inline distT="0" distB="0" distL="0" distR="0" wp14:anchorId="5BF95BDC" wp14:editId="0845FA77">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C1BDDA" w14:textId="77777777" w:rsidR="008662B7" w:rsidRDefault="00E111DE">
      <w:pPr>
        <w:rPr>
          <w:sz w:val="24"/>
          <w:szCs w:val="24"/>
        </w:rPr>
      </w:pPr>
      <w:r>
        <w:rPr>
          <w:noProof/>
          <w:sz w:val="24"/>
          <w:szCs w:val="24"/>
          <w:lang w:eastAsia="de-AT"/>
        </w:rPr>
        <w:drawing>
          <wp:inline distT="0" distB="0" distL="0" distR="0" wp14:anchorId="7FA65E26" wp14:editId="2C76DD7A">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77777777" w:rsidR="003A5223" w:rsidRDefault="003A5223" w:rsidP="00082385">
            <w:pPr>
              <w:jc w:val="center"/>
              <w:rPr>
                <w:rFonts w:ascii="Cambria" w:hAnsi="Cambria"/>
                <w:sz w:val="24"/>
                <w:szCs w:val="24"/>
              </w:rPr>
            </w:pPr>
          </w:p>
        </w:tc>
        <w:tc>
          <w:tcPr>
            <w:tcW w:w="5386" w:type="dxa"/>
          </w:tcPr>
          <w:p w14:paraId="0593574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088A4A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5223ED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77777777" w:rsidR="00785805" w:rsidRDefault="00785805" w:rsidP="00082385">
            <w:pPr>
              <w:jc w:val="center"/>
              <w:rPr>
                <w:rFonts w:ascii="Cambria" w:hAnsi="Cambria"/>
                <w:sz w:val="24"/>
                <w:szCs w:val="24"/>
              </w:rPr>
            </w:pPr>
          </w:p>
        </w:tc>
        <w:tc>
          <w:tcPr>
            <w:tcW w:w="5386" w:type="dxa"/>
          </w:tcPr>
          <w:p w14:paraId="6E1526C7"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C7DA0C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8E79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bookmarkStart w:id="0" w:name="_GoBack"/>
            <w:bookmarkEnd w:id="0"/>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Was ist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r w:rsidRPr="00244158">
        <w:t>Rollen</w:t>
      </w:r>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r w:rsidRPr="00244158">
        <w:lastRenderedPageBreak/>
        <w:t>Artefakte</w:t>
      </w:r>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r w:rsidRPr="00244158">
        <w:t>Entwicklungsprogramme</w:t>
      </w:r>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r w:rsidRPr="00244158">
        <w:t>Projekt erzeugen</w:t>
      </w:r>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r w:rsidRPr="00244158">
        <w:t>Einrichten des Geräts</w:t>
      </w:r>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r w:rsidRPr="00244158">
        <w:t>Kernkomponenten einer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r w:rsidRPr="00244158">
        <w:t>Klasse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Android Berechtigungen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2555</Words>
  <Characters>16102</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24</cp:revision>
  <cp:lastPrinted>2016-04-12T16:38:00Z</cp:lastPrinted>
  <dcterms:created xsi:type="dcterms:W3CDTF">2016-03-07T16:23:00Z</dcterms:created>
  <dcterms:modified xsi:type="dcterms:W3CDTF">2016-04-19T17:11:00Z</dcterms:modified>
</cp:coreProperties>
</file>