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51" w:rsidRPr="00C249D5" w:rsidRDefault="009B3A51">
      <w:pPr>
        <w:pStyle w:val="a9"/>
        <w:spacing w:before="0" w:after="0"/>
        <w:rPr>
          <w:rFonts w:cs="Times New Roman"/>
          <w:bCs/>
        </w:rPr>
      </w:pPr>
    </w:p>
    <w:tbl>
      <w:tblPr>
        <w:tblW w:w="10138" w:type="dxa"/>
        <w:tblInd w:w="-108" w:type="dxa"/>
        <w:tblCellMar>
          <w:top w:w="200" w:type="dxa"/>
          <w:bottom w:w="140" w:type="dxa"/>
        </w:tblCellMar>
        <w:tblLook w:val="04A0" w:firstRow="1" w:lastRow="0" w:firstColumn="1" w:lastColumn="0" w:noHBand="0" w:noVBand="1"/>
      </w:tblPr>
      <w:tblGrid>
        <w:gridCol w:w="10138"/>
      </w:tblGrid>
      <w:tr w:rsidR="009B3A51" w:rsidRPr="001D6188">
        <w:tc>
          <w:tcPr>
            <w:tcW w:w="10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B3A51" w:rsidRPr="00E14D92" w:rsidRDefault="00E14D92" w:rsidP="00B472A5">
            <w:pPr>
              <w:pStyle w:val="a9"/>
              <w:spacing w:before="0" w:after="0"/>
              <w:rPr>
                <w:rFonts w:cs="Times New Roman"/>
              </w:rPr>
            </w:pPr>
            <w:r w:rsidRPr="003C2C05">
              <w:rPr>
                <w:rFonts w:cs="Times New Roman"/>
                <w:bCs/>
              </w:rPr>
              <w:t>Финансовый управляющий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 xml:space="preserve"> 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{</w:t>
            </w:r>
            <w:proofErr w:type="spellStart"/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</w:t>
            </w:r>
            <w:r w:rsidR="00856FC4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ullName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Genitive</w:t>
            </w:r>
            <w:proofErr w:type="spellEnd"/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2F3A46" w:rsidRPr="00E14D92">
              <w:rPr>
                <w:rFonts w:cs="Times New Roman"/>
                <w:bCs/>
              </w:rPr>
              <w:t>{/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</w:rPr>
              <w:t>}</w:t>
            </w:r>
            <w:r w:rsidR="00B472A5">
              <w:rPr>
                <w:rFonts w:cs="Times New Roman"/>
                <w:bCs/>
              </w:rPr>
              <w:t xml:space="preserve"> 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proofErr w:type="spellStart"/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B472A5" w:rsidRPr="00E14D92">
              <w:rPr>
                <w:rFonts w:cs="Times New Roman"/>
                <w:bCs/>
              </w:rPr>
              <w:t>{/</w:t>
            </w:r>
            <w:proofErr w:type="spellStart"/>
            <w:r w:rsidR="00B472A5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B472A5" w:rsidRPr="00E14D92">
              <w:rPr>
                <w:rFonts w:cs="Times New Roman"/>
                <w:bCs/>
              </w:rPr>
              <w:t>}</w:t>
            </w:r>
          </w:p>
        </w:tc>
      </w:tr>
      <w:tr w:rsidR="009B3A51" w:rsidRPr="00AC50CB">
        <w:tc>
          <w:tcPr>
            <w:tcW w:w="10138" w:type="dxa"/>
            <w:tcBorders>
              <w:top w:val="single" w:sz="4" w:space="0" w:color="000000"/>
            </w:tcBorders>
            <w:shd w:val="clear" w:color="auto" w:fill="auto"/>
            <w:tcMar>
              <w:top w:w="140" w:type="dxa"/>
              <w:bottom w:w="400" w:type="dxa"/>
            </w:tcMar>
            <w:vAlign w:val="center"/>
          </w:tcPr>
          <w:p w:rsidR="009B3A51" w:rsidRPr="00C249D5" w:rsidRDefault="00FA2BEE" w:rsidP="00E534F9">
            <w:pPr>
              <w:pStyle w:val="a9"/>
              <w:spacing w:before="0" w:after="0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/>
              </w:rPr>
              <w:t>{</w:t>
            </w:r>
            <w:r w:rsidR="006C4784" w:rsidRPr="00C249D5">
              <w:rPr>
                <w:rFonts w:cs="Times New Roman"/>
                <w:bCs/>
                <w:lang w:val="en-US"/>
              </w:rPr>
              <w:t>#</w:t>
            </w:r>
            <w:proofErr w:type="spellStart"/>
            <w:r w:rsidR="004801E8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4801E8" w:rsidRPr="00C249D5">
              <w:rPr>
                <w:rFonts w:cs="Times New Roman"/>
                <w:bCs/>
                <w:lang w:val="en-US"/>
              </w:rPr>
              <w:t>}{</w:t>
            </w:r>
            <w:r w:rsidR="00E534F9" w:rsidRPr="00C249D5">
              <w:rPr>
                <w:rFonts w:cs="Times New Roman"/>
                <w:bCs/>
                <w:lang w:val="en-US"/>
              </w:rPr>
              <w:t>a</w:t>
            </w:r>
            <w:r w:rsidRPr="00C249D5">
              <w:rPr>
                <w:rFonts w:cs="Times New Roman"/>
                <w:bCs/>
                <w:lang w:val="en-US"/>
              </w:rPr>
              <w:t>ddress}</w:t>
            </w:r>
            <w:r w:rsidR="00D21399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D21399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D21399" w:rsidRPr="00C249D5">
              <w:rPr>
                <w:rFonts w:cs="Times New Roman"/>
                <w:bCs/>
                <w:lang w:val="en-US"/>
              </w:rPr>
              <w:t>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p</w:t>
            </w:r>
            <w:r w:rsidRPr="00C249D5">
              <w:rPr>
                <w:rFonts w:cs="Times New Roman"/>
                <w:bCs/>
                <w:lang w:val="en-US"/>
              </w:rPr>
              <w:t>hone}</w:t>
            </w:r>
            <w:r w:rsidR="002F3A46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e</w:t>
            </w:r>
            <w:r w:rsidRPr="00C249D5">
              <w:rPr>
                <w:rFonts w:cs="Times New Roman"/>
                <w:bCs/>
                <w:lang w:val="en-US"/>
              </w:rPr>
              <w:t>mail}</w:t>
            </w:r>
            <w:r w:rsidR="002F3A46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</w:p>
        </w:tc>
      </w:tr>
    </w:tbl>
    <w:p w:rsidR="009B3A51" w:rsidRPr="00C249D5" w:rsidRDefault="009B3A51">
      <w:pPr>
        <w:pStyle w:val="a9"/>
        <w:spacing w:before="0" w:after="0"/>
        <w:rPr>
          <w:rFonts w:cs="Times New Roman"/>
          <w:bCs/>
          <w:lang w:val="en-US"/>
        </w:rPr>
      </w:pPr>
    </w:p>
    <w:tbl>
      <w:tblPr>
        <w:tblW w:w="10148" w:type="dxa"/>
        <w:tblInd w:w="-113" w:type="dxa"/>
        <w:tblLook w:val="04A0" w:firstRow="1" w:lastRow="0" w:firstColumn="1" w:lastColumn="0" w:noHBand="0" w:noVBand="1"/>
      </w:tblPr>
      <w:tblGrid>
        <w:gridCol w:w="4075"/>
        <w:gridCol w:w="6073"/>
      </w:tblGrid>
      <w:tr w:rsidR="009B3A51" w:rsidRPr="00C249D5"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51" w:rsidRPr="00C249D5" w:rsidRDefault="000715B8" w:rsidP="00401299">
            <w:pPr>
              <w:pStyle w:val="a9"/>
              <w:rPr>
                <w:rFonts w:cs="Times New Roman"/>
                <w:bCs/>
                <w:lang w:eastAsia="ru-RU"/>
              </w:rPr>
            </w:pPr>
            <w:r w:rsidRPr="00C249D5">
              <w:rPr>
                <w:rFonts w:cs="Times New Roman"/>
                <w:bCs/>
              </w:rPr>
              <w:t xml:space="preserve">Исх. № </w:t>
            </w:r>
            <w:r w:rsidR="00401299" w:rsidRPr="00C249D5">
              <w:rPr>
                <w:rFonts w:cs="Times New Roman"/>
                <w:bCs/>
              </w:rPr>
              <w:t>__________</w:t>
            </w:r>
          </w:p>
          <w:p w:rsidR="00401299" w:rsidRPr="00C249D5" w:rsidRDefault="00401299" w:rsidP="00856FC4">
            <w:pPr>
              <w:pStyle w:val="a9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 w:eastAsia="ru-RU"/>
              </w:rPr>
              <w:t>{</w:t>
            </w:r>
            <w:proofErr w:type="spellStart"/>
            <w:r w:rsidR="00856FC4" w:rsidRPr="00C249D5">
              <w:rPr>
                <w:rFonts w:cs="Times New Roman"/>
                <w:bCs/>
                <w:lang w:val="en-US" w:eastAsia="ru-RU"/>
              </w:rPr>
              <w:t>currentDate</w:t>
            </w:r>
            <w:proofErr w:type="spellEnd"/>
            <w:r w:rsidRPr="00C249D5">
              <w:rPr>
                <w:rFonts w:cs="Times New Roman"/>
                <w:bCs/>
                <w:lang w:val="en-US" w:eastAsia="ru-RU"/>
              </w:rPr>
              <w:t>}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51" w:rsidRPr="00C249D5" w:rsidRDefault="0012392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}{title}{/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="000715B8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}{address}{/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FA2BEE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управляющий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}{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spacing w:after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12392F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}{address}{/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}{phone}{/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}{email}{/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Должник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C249D5" w:rsidRPr="00C249D5" w:rsidRDefault="00DA30B0">
            <w:pPr>
              <w:pStyle w:val="ConsPlusNonformat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{#debtor}{b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irthday}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</w:p>
          <w:p w:rsidR="009B3A51" w:rsidRPr="00C249D5" w:rsidRDefault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="00DA30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placeOfBirth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="001D618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personal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InsurancePolicyNumber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individualTaxpayerNumber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registrationAddress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Default="000715B8" w:rsidP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Дело №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249D5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{id}</w:t>
            </w:r>
          </w:p>
          <w:p w:rsidR="008D7162" w:rsidRPr="00C249D5" w:rsidRDefault="008D7162" w:rsidP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3A51" w:rsidRPr="00C249D5" w:rsidRDefault="009B3A51">
      <w:pPr>
        <w:jc w:val="center"/>
        <w:rPr>
          <w:rFonts w:cs="Times New Roman"/>
        </w:rPr>
      </w:pP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 xml:space="preserve">Ходатайство </w:t>
      </w: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>о выплате вознаграждения и расходов с депозита арбитражного суда</w:t>
      </w:r>
    </w:p>
    <w:p w:rsidR="009B3A51" w:rsidRPr="00C249D5" w:rsidRDefault="009B3A51">
      <w:pPr>
        <w:jc w:val="center"/>
        <w:rPr>
          <w:rFonts w:cs="Times New Roman"/>
          <w:b/>
          <w:bCs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Заявитель —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proofErr w:type="gramStart"/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proofErr w:type="spellStart"/>
      <w:r w:rsidR="002F3A46" w:rsidRPr="00C249D5">
        <w:rPr>
          <w:rFonts w:cs="Times New Roman"/>
          <w:bCs/>
          <w:lang w:val="en-US"/>
        </w:rPr>
        <w:t>financialManager</w:t>
      </w:r>
      <w:proofErr w:type="spellEnd"/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является финансовым управляющим в деле о банкротстве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(далее по тексту — должник), действующий на основании решения </w:t>
      </w:r>
      <w:r w:rsidR="0012392F" w:rsidRPr="00C249D5">
        <w:rPr>
          <w:rFonts w:cs="Times New Roman"/>
          <w:bCs/>
        </w:rPr>
        <w:t>{#</w:t>
      </w:r>
      <w:proofErr w:type="spell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}{</w:t>
      </w:r>
      <w:r w:rsidR="0012392F" w:rsidRPr="00C249D5">
        <w:rPr>
          <w:rFonts w:cs="Times New Roman"/>
          <w:bCs/>
          <w:lang w:val="en-US"/>
        </w:rPr>
        <w:t>title</w:t>
      </w:r>
      <w:r w:rsidR="0012392F" w:rsidRPr="00C249D5">
        <w:rPr>
          <w:rFonts w:cs="Times New Roman"/>
          <w:bCs/>
        </w:rPr>
        <w:t>}{/</w:t>
      </w:r>
      <w:proofErr w:type="spell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№</w:t>
      </w:r>
      <w:r w:rsidR="00C249D5" w:rsidRPr="00C249D5">
        <w:rPr>
          <w:rFonts w:cs="Times New Roman"/>
        </w:rPr>
        <w:t xml:space="preserve"> 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>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Решением </w:t>
      </w:r>
      <w:r w:rsidR="0012392F" w:rsidRPr="00C249D5">
        <w:rPr>
          <w:rFonts w:cs="Times New Roman"/>
          <w:bCs/>
        </w:rPr>
        <w:t>{#</w:t>
      </w:r>
      <w:proofErr w:type="spell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}{</w:t>
      </w:r>
      <w:r w:rsidR="0012392F" w:rsidRPr="00C249D5">
        <w:rPr>
          <w:rFonts w:cs="Times New Roman"/>
          <w:bCs/>
          <w:lang w:val="en-US"/>
        </w:rPr>
        <w:t>title</w:t>
      </w:r>
      <w:r w:rsidR="0012392F" w:rsidRPr="00C249D5">
        <w:rPr>
          <w:rFonts w:cs="Times New Roman"/>
          <w:bCs/>
        </w:rPr>
        <w:t>}{/</w:t>
      </w:r>
      <w:proofErr w:type="spell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</w:t>
      </w:r>
      <w:r w:rsidR="0012392F" w:rsidRPr="00C249D5">
        <w:rPr>
          <w:rFonts w:cs="Times New Roman"/>
        </w:rPr>
        <w:t xml:space="preserve">№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признан(-а) банкротом</w:t>
      </w:r>
      <w:r w:rsidR="00037509" w:rsidRPr="00C249D5">
        <w:rPr>
          <w:rFonts w:cs="Times New Roman"/>
        </w:rPr>
        <w:t>,</w:t>
      </w:r>
      <w:r w:rsidRPr="00C249D5">
        <w:rPr>
          <w:rFonts w:cs="Times New Roman"/>
        </w:rPr>
        <w:t xml:space="preserve"> в отношении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bookmarkStart w:id="0" w:name="_GoBack"/>
      <w:bookmarkEnd w:id="0"/>
      <w:proofErr w:type="spellStart"/>
      <w:r w:rsidR="00720541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="00037509" w:rsidRPr="00C249D5">
        <w:rPr>
          <w:rFonts w:cs="Times New Roman"/>
        </w:rPr>
        <w:t xml:space="preserve"> </w:t>
      </w:r>
      <w:r w:rsidRPr="00C249D5">
        <w:rPr>
          <w:rFonts w:cs="Times New Roman"/>
        </w:rPr>
        <w:t>введена процедура реализации имущества.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соответствии с пунктом 1 статьи 213.1 Федерального закона от 26.10.2002 №127-ФЗ «О несостоятельности (банкротстве)» (далее по тексту — Закон о банкротстве) отношения, связанные с банкротством граждан, не являющихся индивидуальными предпринимателями, регулируются параграфами 1.1 и 4 главы </w:t>
      </w:r>
      <w:r w:rsidRPr="00C249D5">
        <w:rPr>
          <w:rFonts w:cs="Times New Roman"/>
          <w:lang w:val="en-US"/>
        </w:rPr>
        <w:t>X</w:t>
      </w:r>
      <w:r w:rsidRPr="00C249D5">
        <w:rPr>
          <w:rFonts w:cs="Times New Roman"/>
        </w:rPr>
        <w:t xml:space="preserve"> Закона о банкротстве, а при отсутствии специальных правил, регламентирующих особенности банкротства этой категории должников — главами </w:t>
      </w:r>
      <w:r w:rsidRPr="00C249D5">
        <w:rPr>
          <w:rFonts w:cs="Times New Roman"/>
          <w:lang w:val="en-US"/>
        </w:rPr>
        <w:t>I</w:t>
      </w:r>
      <w:r w:rsidRPr="00C249D5">
        <w:rPr>
          <w:rFonts w:cs="Times New Roman"/>
        </w:rPr>
        <w:t xml:space="preserve"> – </w:t>
      </w:r>
      <w:r w:rsidRPr="00C249D5">
        <w:rPr>
          <w:rFonts w:cs="Times New Roman"/>
          <w:lang w:val="en-US"/>
        </w:rPr>
        <w:t>III</w:t>
      </w:r>
      <w:r w:rsidRPr="00C249D5">
        <w:rPr>
          <w:rFonts w:cs="Times New Roman"/>
        </w:rPr>
        <w:t xml:space="preserve">.1, </w:t>
      </w:r>
      <w:r w:rsidRPr="00C249D5">
        <w:rPr>
          <w:rFonts w:cs="Times New Roman"/>
          <w:lang w:val="en-US"/>
        </w:rPr>
        <w:t>VIII</w:t>
      </w:r>
      <w:r w:rsidRPr="00C249D5">
        <w:rPr>
          <w:rFonts w:cs="Times New Roman"/>
        </w:rPr>
        <w:t xml:space="preserve">, параграфом 7 главы </w:t>
      </w:r>
      <w:r w:rsidRPr="00C249D5">
        <w:rPr>
          <w:rFonts w:cs="Times New Roman"/>
          <w:lang w:val="en-US"/>
        </w:rPr>
        <w:t>IX</w:t>
      </w:r>
      <w:r w:rsidRPr="00C249D5">
        <w:rPr>
          <w:rFonts w:cs="Times New Roman"/>
        </w:rPr>
        <w:t xml:space="preserve"> и параграфом 2 главы </w:t>
      </w:r>
      <w:r w:rsidRPr="00C249D5">
        <w:rPr>
          <w:rFonts w:cs="Times New Roman"/>
          <w:lang w:val="en-US"/>
        </w:rPr>
        <w:t>XI</w:t>
      </w:r>
      <w:r w:rsidRPr="00C249D5">
        <w:rPr>
          <w:rFonts w:cs="Times New Roman"/>
        </w:rPr>
        <w:t xml:space="preserve"> Закона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Пунктом 1 ст. 20.6 Закона о банкротстве предусмотрено, что арбитражный управляющий </w:t>
      </w:r>
      <w:r w:rsidRPr="00C249D5">
        <w:rPr>
          <w:rFonts w:cs="Times New Roman"/>
        </w:rPr>
        <w:lastRenderedPageBreak/>
        <w:t>имеет право на вознаграждение в деле о банкротстве, а также на возмещение в полном объеме расходов, фактически понесенных им при исполнении возложенных на него обязанностей в деле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Пунктом 2 ст. 20.4, пунктом 4 ст. 213.9 Закона о банкротстве установлено, что выплата фиксированной суммы вознаграждения финансовому управляющему осуществляется за счет средств гражданина.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силу пункта 3 ст. 20.6 Закона о банкротстве размер вознаграждения финансового управляющего составляет двадцать пять тысяч рублей единовременно за проведение процедуры, применяемой в деле о банкротстве.  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Кроме того, в силу пункта 2 ст. 20.7 закона о банкротстве за счет средств должника в размере фактических затрат также осуществляется оплата расходов, предусмотренных указанным законом, в том числе почтовых расходов, расходов, связанных с государственной регистрацией прав должника на недвижимое имущество и сделок с ним, расходов на услуг оценщика, реестродержателя, аудитора, если привлечение оценщика, реестродержателя, аудитора в соответствии с указанным законом является обязательным, расходов на включение сведений, предусмотренных указанным законом, в Едином федеральном реестре сведений о банкротстве и опубликование таких сведений, а также оплата судебных расходов, в том числе государственной пошлины.</w:t>
      </w:r>
    </w:p>
    <w:p w:rsidR="009B3A51" w:rsidRPr="00C249D5" w:rsidRDefault="00037509">
      <w:pPr>
        <w:ind w:firstLine="283"/>
        <w:jc w:val="both"/>
        <w:rPr>
          <w:rFonts w:cs="Times New Roman"/>
        </w:rPr>
      </w:pPr>
      <w:r w:rsidRPr="00C249D5">
        <w:rPr>
          <w:rFonts w:cs="Times New Roman"/>
          <w:bCs/>
          <w:shd w:val="clear" w:color="auto" w:fill="FFFFFF" w:themeFill="background1"/>
        </w:rPr>
        <w:t>{#</w:t>
      </w:r>
      <w:proofErr w:type="gramStart"/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Pr="00C249D5">
        <w:rPr>
          <w:rFonts w:cs="Times New Roman"/>
          <w:bCs/>
          <w:shd w:val="clear" w:color="auto" w:fill="FFFFFF" w:themeFill="background1"/>
          <w:lang w:val="en-US"/>
        </w:rPr>
        <w:t>fullNameInstrumental</w:t>
      </w:r>
      <w:proofErr w:type="spellEnd"/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="000715B8" w:rsidRPr="00C249D5">
        <w:rPr>
          <w:rFonts w:cs="Times New Roman"/>
        </w:rPr>
        <w:t xml:space="preserve"> для выплаты вознаграждения финансовому управляющему и финансирования процедуры банкротства на депозитный счет </w:t>
      </w:r>
      <w:r w:rsidR="00CC4691" w:rsidRPr="00C249D5">
        <w:rPr>
          <w:rFonts w:cs="Times New Roman"/>
          <w:bCs/>
        </w:rPr>
        <w:t>{#</w:t>
      </w:r>
      <w:proofErr w:type="spellStart"/>
      <w:r w:rsidR="00CC4691" w:rsidRPr="00C249D5">
        <w:rPr>
          <w:rFonts w:cs="Times New Roman"/>
          <w:bCs/>
          <w:lang w:val="en-US"/>
        </w:rPr>
        <w:t>courtOfLaw</w:t>
      </w:r>
      <w:proofErr w:type="spellEnd"/>
      <w:r w:rsidR="00CC4691" w:rsidRPr="00C249D5">
        <w:rPr>
          <w:rFonts w:cs="Times New Roman"/>
          <w:bCs/>
        </w:rPr>
        <w:t>}{</w:t>
      </w:r>
      <w:r w:rsidR="00CC4691" w:rsidRPr="00C249D5">
        <w:rPr>
          <w:rFonts w:cs="Times New Roman"/>
          <w:bCs/>
          <w:lang w:val="en-US"/>
        </w:rPr>
        <w:t>title</w:t>
      </w:r>
      <w:r w:rsidR="00CC4691" w:rsidRPr="00C249D5">
        <w:rPr>
          <w:rFonts w:cs="Times New Roman"/>
          <w:bCs/>
        </w:rPr>
        <w:t>}{/</w:t>
      </w:r>
      <w:proofErr w:type="spellStart"/>
      <w:r w:rsidR="00CC4691" w:rsidRPr="00C249D5">
        <w:rPr>
          <w:rFonts w:cs="Times New Roman"/>
          <w:bCs/>
          <w:lang w:val="en-US"/>
        </w:rPr>
        <w:t>courtOfLaw</w:t>
      </w:r>
      <w:proofErr w:type="spellEnd"/>
      <w:r w:rsidR="00CC4691" w:rsidRPr="00C249D5">
        <w:rPr>
          <w:rFonts w:cs="Times New Roman"/>
          <w:bCs/>
        </w:rPr>
        <w:t>}</w:t>
      </w:r>
      <w:r w:rsidR="000715B8" w:rsidRPr="00C249D5">
        <w:rPr>
          <w:rFonts w:cs="Times New Roman"/>
        </w:rPr>
        <w:t xml:space="preserve"> внесены денежные средства в размере ___</w:t>
      </w:r>
      <w:r w:rsidRPr="00C249D5">
        <w:rPr>
          <w:rFonts w:cs="Times New Roman"/>
        </w:rPr>
        <w:t>_____</w:t>
      </w:r>
      <w:r w:rsidR="000715B8" w:rsidRPr="00C249D5">
        <w:rPr>
          <w:rFonts w:cs="Times New Roman"/>
        </w:rPr>
        <w:t>___ руб.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На основании вышеизложенного, руководствуясь статьями 20.6, 20.7, 213.9 п. 4 Федерального закона от 26.10.2002 № 127-ФЗ «О несостоятельности (банкротстве)», ст. 184, 223 Арбитражного процессуального кодекса РФ.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center"/>
        <w:rPr>
          <w:rFonts w:cs="Times New Roman"/>
          <w:b/>
          <w:bCs/>
        </w:rPr>
      </w:pPr>
      <w:r w:rsidRPr="00C249D5">
        <w:rPr>
          <w:rFonts w:cs="Times New Roman"/>
          <w:b/>
          <w:bCs/>
        </w:rPr>
        <w:t>ПРОШУ: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Перечислить с депозитного счета </w:t>
      </w:r>
      <w:r w:rsidR="00CC4691" w:rsidRPr="00C249D5">
        <w:rPr>
          <w:rFonts w:cs="Times New Roman"/>
          <w:bCs/>
        </w:rPr>
        <w:t>{#</w:t>
      </w:r>
      <w:proofErr w:type="spellStart"/>
      <w:proofErr w:type="gramStart"/>
      <w:r w:rsidR="00CC4691" w:rsidRPr="00C249D5">
        <w:rPr>
          <w:rFonts w:cs="Times New Roman"/>
          <w:bCs/>
          <w:lang w:val="en-US"/>
        </w:rPr>
        <w:t>courtOfLaw</w:t>
      </w:r>
      <w:proofErr w:type="spellEnd"/>
      <w:r w:rsidR="00CC4691" w:rsidRPr="00C249D5">
        <w:rPr>
          <w:rFonts w:cs="Times New Roman"/>
          <w:bCs/>
        </w:rPr>
        <w:t>}{</w:t>
      </w:r>
      <w:proofErr w:type="gramEnd"/>
      <w:r w:rsidR="00CC4691" w:rsidRPr="00C249D5">
        <w:rPr>
          <w:rFonts w:cs="Times New Roman"/>
          <w:bCs/>
          <w:lang w:val="en-US"/>
        </w:rPr>
        <w:t>title</w:t>
      </w:r>
      <w:r w:rsidR="00CC4691" w:rsidRPr="00C249D5">
        <w:rPr>
          <w:rFonts w:cs="Times New Roman"/>
          <w:bCs/>
        </w:rPr>
        <w:t>}{/</w:t>
      </w:r>
      <w:proofErr w:type="spellStart"/>
      <w:r w:rsidR="00CC4691" w:rsidRPr="00C249D5">
        <w:rPr>
          <w:rFonts w:cs="Times New Roman"/>
          <w:bCs/>
          <w:lang w:val="en-US"/>
        </w:rPr>
        <w:t>courtOfLaw</w:t>
      </w:r>
      <w:proofErr w:type="spellEnd"/>
      <w:r w:rsidR="00CC4691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в пользу финансового управляющего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proofErr w:type="spellStart"/>
      <w:r w:rsidR="00037509" w:rsidRPr="00C249D5">
        <w:rPr>
          <w:rFonts w:cs="Times New Roman"/>
          <w:bCs/>
          <w:lang w:val="en-US"/>
        </w:rPr>
        <w:t>financialManager</w:t>
      </w:r>
      <w:proofErr w:type="spellEnd"/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денежные средства в размере </w:t>
      </w:r>
      <w:r w:rsidR="00037509" w:rsidRPr="00C249D5">
        <w:rPr>
          <w:rFonts w:cs="Times New Roman"/>
        </w:rPr>
        <w:t xml:space="preserve">___________ </w:t>
      </w:r>
      <w:r w:rsidRPr="00C249D5">
        <w:rPr>
          <w:rFonts w:cs="Times New Roman"/>
        </w:rPr>
        <w:t xml:space="preserve">руб. вознаграждение финансового </w:t>
      </w:r>
      <w:r w:rsidR="00037509" w:rsidRPr="00C249D5">
        <w:rPr>
          <w:rFonts w:cs="Times New Roman"/>
        </w:rPr>
        <w:t>управляющего</w:t>
      </w:r>
      <w:r w:rsidRPr="00C249D5">
        <w:rPr>
          <w:rFonts w:cs="Times New Roman"/>
        </w:rPr>
        <w:t>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61"/>
        <w:gridCol w:w="5101"/>
      </w:tblGrid>
      <w:tr w:rsidR="009B3A51" w:rsidRPr="00C249D5">
        <w:tc>
          <w:tcPr>
            <w:tcW w:w="4787" w:type="dxa"/>
            <w:shd w:val="clear" w:color="auto" w:fill="auto"/>
          </w:tcPr>
          <w:p w:rsidR="009B3A51" w:rsidRPr="00C249D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  <w:p w:rsidR="009B3A51" w:rsidRPr="00B472A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b/>
                <w:lang w:eastAsia="ru-RU"/>
              </w:rPr>
              <w:t>Финансовый</w:t>
            </w:r>
            <w:r w:rsidRPr="00B472A5">
              <w:rPr>
                <w:rFonts w:cs="Times New Roman"/>
                <w:b/>
                <w:lang w:eastAsia="ru-RU"/>
              </w:rPr>
              <w:t xml:space="preserve"> </w:t>
            </w:r>
            <w:r w:rsidRPr="00C249D5">
              <w:rPr>
                <w:rFonts w:cs="Times New Roman"/>
                <w:b/>
                <w:lang w:eastAsia="ru-RU"/>
              </w:rPr>
              <w:t>управляющий</w:t>
            </w:r>
            <w:r w:rsidRPr="00B472A5">
              <w:rPr>
                <w:rFonts w:cs="Times New Roman"/>
                <w:b/>
                <w:bCs/>
              </w:rPr>
              <w:br/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B472A5" w:rsidRPr="00E14D92">
              <w:rPr>
                <w:rFonts w:cs="Times New Roman"/>
                <w:bCs/>
              </w:rPr>
              <w:t>{/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B472A5" w:rsidRPr="00E14D92">
              <w:rPr>
                <w:rFonts w:cs="Times New Roman"/>
                <w:bCs/>
              </w:rPr>
              <w:t>}</w:t>
            </w:r>
          </w:p>
        </w:tc>
        <w:tc>
          <w:tcPr>
            <w:tcW w:w="61" w:type="dxa"/>
            <w:shd w:val="clear" w:color="auto" w:fill="auto"/>
            <w:vAlign w:val="center"/>
          </w:tcPr>
          <w:p w:rsidR="009B3A51" w:rsidRPr="00B472A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</w:tc>
        <w:tc>
          <w:tcPr>
            <w:tcW w:w="4790" w:type="dxa"/>
            <w:shd w:val="clear" w:color="auto" w:fill="auto"/>
          </w:tcPr>
          <w:p w:rsidR="009B3A51" w:rsidRPr="00C249D5" w:rsidRDefault="00037509" w:rsidP="00CC4691">
            <w:pPr>
              <w:pStyle w:val="a9"/>
              <w:jc w:val="right"/>
              <w:rPr>
                <w:rFonts w:cs="Times New Roman"/>
                <w:b/>
              </w:rPr>
            </w:pPr>
            <w:bookmarkStart w:id="1" w:name="__DdeLink__67_3727733106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{#</w:t>
            </w:r>
            <w:proofErr w:type="spellStart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}{initials}</w:t>
            </w:r>
            <w:r w:rsidRPr="00C249D5">
              <w:rPr>
                <w:rFonts w:cs="Times New Roman"/>
                <w:b/>
                <w:bCs/>
                <w:lang w:val="en-US"/>
              </w:rPr>
              <w:t>{/</w:t>
            </w:r>
            <w:proofErr w:type="spellStart"/>
            <w:r w:rsidRPr="00C249D5">
              <w:rPr>
                <w:rFonts w:cs="Times New Roman"/>
                <w:b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lang w:val="en-US"/>
              </w:rPr>
              <w:t>}</w:t>
            </w:r>
            <w:bookmarkEnd w:id="1"/>
          </w:p>
        </w:tc>
      </w:tr>
    </w:tbl>
    <w:p w:rsidR="009B3A51" w:rsidRPr="00C249D5" w:rsidRDefault="009B3A51">
      <w:pPr>
        <w:ind w:firstLine="283"/>
        <w:jc w:val="both"/>
        <w:rPr>
          <w:rFonts w:cs="Times New Roman"/>
        </w:rPr>
      </w:pPr>
    </w:p>
    <w:sectPr w:rsidR="009B3A51" w:rsidRPr="00C249D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3A51"/>
    <w:rsid w:val="00037509"/>
    <w:rsid w:val="000715B8"/>
    <w:rsid w:val="0012392F"/>
    <w:rsid w:val="001D6188"/>
    <w:rsid w:val="002018D6"/>
    <w:rsid w:val="002F3A46"/>
    <w:rsid w:val="00401299"/>
    <w:rsid w:val="004801E8"/>
    <w:rsid w:val="0050785C"/>
    <w:rsid w:val="00587A1F"/>
    <w:rsid w:val="00681B5C"/>
    <w:rsid w:val="006C4784"/>
    <w:rsid w:val="00720541"/>
    <w:rsid w:val="00856FC4"/>
    <w:rsid w:val="008D7162"/>
    <w:rsid w:val="009679D4"/>
    <w:rsid w:val="009B3A51"/>
    <w:rsid w:val="00AC50CB"/>
    <w:rsid w:val="00B472A5"/>
    <w:rsid w:val="00C249D5"/>
    <w:rsid w:val="00CC4691"/>
    <w:rsid w:val="00D21399"/>
    <w:rsid w:val="00DA30B0"/>
    <w:rsid w:val="00E14D92"/>
    <w:rsid w:val="00E534F9"/>
    <w:rsid w:val="00FA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6259"/>
  <w15:docId w15:val="{A1E5EDC6-A35B-4F3A-A1FB-C257C3DF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qFormat/>
    <w:pPr>
      <w:spacing w:before="240" w:after="240"/>
    </w:pPr>
  </w:style>
  <w:style w:type="paragraph" w:customStyle="1" w:styleId="ConsPlusNonformat">
    <w:name w:val="ConsPlusNonformat"/>
    <w:qFormat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Азамат Мамбетов</cp:lastModifiedBy>
  <cp:revision>37</cp:revision>
  <dcterms:created xsi:type="dcterms:W3CDTF">2021-08-29T14:52:00Z</dcterms:created>
  <dcterms:modified xsi:type="dcterms:W3CDTF">2021-08-29T19:19:00Z</dcterms:modified>
  <dc:language>ru-RU</dc:language>
</cp:coreProperties>
</file>