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D31C395" w14:textId="106E3AE3" w:rsidR="008A61CE" w:rsidRDefault="00000000">
      <w:pPr>
        <w:spacing w:before="240" w:after="120"/>
      </w:pPr>
      <w:r>
        <w:rPr>
          <w:b/>
          <w:bCs/>
          <w:color w:val="1F3864"/>
          <w:sz w:val="28"/>
          <w:szCs w:val="28"/>
        </w:rPr>
        <w:t>Project Proposal</w:t>
      </w:r>
    </w:p>
    <w:p w14:paraId="0928FB28" w14:textId="77777777" w:rsidR="008A61CE" w:rsidRDefault="00000000">
      <w:pPr>
        <w:spacing w:after="320"/>
      </w:pPr>
      <w:r>
        <w:rPr>
          <w:b/>
          <w:bCs/>
          <w:color w:val="1F3864"/>
          <w:sz w:val="32"/>
          <w:szCs w:val="32"/>
        </w:rPr>
        <w:t xml:space="preserve">Development of a Real-Time EEXI and CII Emissions Monitoring Plugin for </w:t>
      </w:r>
      <w:proofErr w:type="spellStart"/>
      <w:r>
        <w:rPr>
          <w:b/>
          <w:bCs/>
          <w:color w:val="1F3864"/>
          <w:sz w:val="32"/>
          <w:szCs w:val="32"/>
        </w:rPr>
        <w:t>OpenCPN</w:t>
      </w:r>
      <w:proofErr w:type="spellEnd"/>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626"/>
      </w:tblGrid>
      <w:tr w:rsidR="008A61CE" w14:paraId="183709E2" w14:textId="77777777">
        <w:tblPrEx>
          <w:tblCellMar>
            <w:top w:w="0" w:type="dxa"/>
            <w:bottom w:w="0" w:type="dxa"/>
          </w:tblCellMar>
        </w:tblPrEx>
        <w:tc>
          <w:tcPr>
            <w:tcW w:w="2400" w:type="dxa"/>
            <w:tcBorders>
              <w:top w:val="single" w:sz="1" w:space="0" w:color="C0C0C0"/>
              <w:left w:val="single" w:sz="1" w:space="0" w:color="C0C0C0"/>
              <w:bottom w:val="single" w:sz="1" w:space="0" w:color="C0C0C0"/>
              <w:right w:val="single" w:sz="1" w:space="0" w:color="C0C0C0"/>
            </w:tcBorders>
            <w:shd w:val="clear" w:color="auto" w:fill="D6E4F0"/>
            <w:tcMar>
              <w:top w:w="80" w:type="dxa"/>
              <w:left w:w="120" w:type="dxa"/>
              <w:bottom w:w="80" w:type="dxa"/>
              <w:right w:w="120" w:type="dxa"/>
            </w:tcMar>
          </w:tcPr>
          <w:p w14:paraId="0437E0B6" w14:textId="77777777" w:rsidR="008A61CE" w:rsidRDefault="00000000">
            <w:r>
              <w:rPr>
                <w:b/>
                <w:bCs/>
                <w:color w:val="1F3864"/>
                <w:sz w:val="22"/>
                <w:szCs w:val="22"/>
              </w:rPr>
              <w:t>Student:</w:t>
            </w:r>
          </w:p>
        </w:tc>
        <w:tc>
          <w:tcPr>
            <w:tcW w:w="6626" w:type="dxa"/>
            <w:tcBorders>
              <w:top w:val="single" w:sz="1" w:space="0" w:color="C0C0C0"/>
              <w:left w:val="single" w:sz="1" w:space="0" w:color="C0C0C0"/>
              <w:bottom w:val="single" w:sz="1" w:space="0" w:color="C0C0C0"/>
              <w:right w:val="single" w:sz="1" w:space="0" w:color="C0C0C0"/>
            </w:tcBorders>
            <w:tcMar>
              <w:top w:w="80" w:type="dxa"/>
              <w:left w:w="120" w:type="dxa"/>
              <w:bottom w:w="80" w:type="dxa"/>
              <w:right w:w="120" w:type="dxa"/>
            </w:tcMar>
          </w:tcPr>
          <w:p w14:paraId="6EB45BEA" w14:textId="17DE1FDA" w:rsidR="008A61CE" w:rsidRDefault="00865BA3">
            <w:r>
              <w:rPr>
                <w:color w:val="444444"/>
                <w:sz w:val="22"/>
                <w:szCs w:val="22"/>
              </w:rPr>
              <w:t xml:space="preserve">Farid </w:t>
            </w:r>
            <w:proofErr w:type="spellStart"/>
            <w:r>
              <w:rPr>
                <w:color w:val="444444"/>
                <w:sz w:val="22"/>
                <w:szCs w:val="22"/>
              </w:rPr>
              <w:t>Nahado</w:t>
            </w:r>
            <w:proofErr w:type="spellEnd"/>
          </w:p>
        </w:tc>
      </w:tr>
      <w:tr w:rsidR="008A61CE" w14:paraId="0C5E1A20" w14:textId="77777777">
        <w:tblPrEx>
          <w:tblCellMar>
            <w:top w:w="0" w:type="dxa"/>
            <w:bottom w:w="0" w:type="dxa"/>
          </w:tblCellMar>
        </w:tblPrEx>
        <w:tc>
          <w:tcPr>
            <w:tcW w:w="2400" w:type="dxa"/>
            <w:tcBorders>
              <w:top w:val="single" w:sz="1" w:space="0" w:color="C0C0C0"/>
              <w:left w:val="single" w:sz="1" w:space="0" w:color="C0C0C0"/>
              <w:bottom w:val="single" w:sz="1" w:space="0" w:color="C0C0C0"/>
              <w:right w:val="single" w:sz="1" w:space="0" w:color="C0C0C0"/>
            </w:tcBorders>
            <w:shd w:val="clear" w:color="auto" w:fill="D6E4F0"/>
            <w:tcMar>
              <w:top w:w="80" w:type="dxa"/>
              <w:left w:w="120" w:type="dxa"/>
              <w:bottom w:w="80" w:type="dxa"/>
              <w:right w:w="120" w:type="dxa"/>
            </w:tcMar>
          </w:tcPr>
          <w:p w14:paraId="1282EFE8" w14:textId="77777777" w:rsidR="008A61CE" w:rsidRDefault="00000000">
            <w:r>
              <w:rPr>
                <w:b/>
                <w:bCs/>
                <w:color w:val="1F3864"/>
                <w:sz w:val="22"/>
                <w:szCs w:val="22"/>
              </w:rPr>
              <w:t>Student ID:</w:t>
            </w:r>
          </w:p>
        </w:tc>
        <w:tc>
          <w:tcPr>
            <w:tcW w:w="6626" w:type="dxa"/>
            <w:tcBorders>
              <w:top w:val="single" w:sz="1" w:space="0" w:color="C0C0C0"/>
              <w:left w:val="single" w:sz="1" w:space="0" w:color="C0C0C0"/>
              <w:bottom w:val="single" w:sz="1" w:space="0" w:color="C0C0C0"/>
              <w:right w:val="single" w:sz="1" w:space="0" w:color="C0C0C0"/>
            </w:tcBorders>
            <w:tcMar>
              <w:top w:w="80" w:type="dxa"/>
              <w:left w:w="120" w:type="dxa"/>
              <w:bottom w:w="80" w:type="dxa"/>
              <w:right w:w="120" w:type="dxa"/>
            </w:tcMar>
          </w:tcPr>
          <w:p w14:paraId="443A51BA" w14:textId="65C309A7" w:rsidR="008A61CE" w:rsidRDefault="00865BA3">
            <w:r>
              <w:rPr>
                <w:color w:val="444444"/>
                <w:sz w:val="22"/>
                <w:szCs w:val="22"/>
              </w:rPr>
              <w:t>ENM241-0143/2021</w:t>
            </w:r>
          </w:p>
        </w:tc>
      </w:tr>
      <w:tr w:rsidR="008A61CE" w14:paraId="19ADA266" w14:textId="77777777">
        <w:tblPrEx>
          <w:tblCellMar>
            <w:top w:w="0" w:type="dxa"/>
            <w:bottom w:w="0" w:type="dxa"/>
          </w:tblCellMar>
        </w:tblPrEx>
        <w:tc>
          <w:tcPr>
            <w:tcW w:w="2400" w:type="dxa"/>
            <w:tcBorders>
              <w:top w:val="single" w:sz="1" w:space="0" w:color="C0C0C0"/>
              <w:left w:val="single" w:sz="1" w:space="0" w:color="C0C0C0"/>
              <w:bottom w:val="single" w:sz="1" w:space="0" w:color="C0C0C0"/>
              <w:right w:val="single" w:sz="1" w:space="0" w:color="C0C0C0"/>
            </w:tcBorders>
            <w:shd w:val="clear" w:color="auto" w:fill="D6E4F0"/>
            <w:tcMar>
              <w:top w:w="80" w:type="dxa"/>
              <w:left w:w="120" w:type="dxa"/>
              <w:bottom w:w="80" w:type="dxa"/>
              <w:right w:w="120" w:type="dxa"/>
            </w:tcMar>
          </w:tcPr>
          <w:p w14:paraId="111CF107" w14:textId="77777777" w:rsidR="008A61CE" w:rsidRDefault="00000000">
            <w:r>
              <w:rPr>
                <w:b/>
                <w:bCs/>
                <w:color w:val="1F3864"/>
                <w:sz w:val="22"/>
                <w:szCs w:val="22"/>
              </w:rPr>
              <w:t>Supervisor:</w:t>
            </w:r>
          </w:p>
        </w:tc>
        <w:tc>
          <w:tcPr>
            <w:tcW w:w="6626" w:type="dxa"/>
            <w:tcBorders>
              <w:top w:val="single" w:sz="1" w:space="0" w:color="C0C0C0"/>
              <w:left w:val="single" w:sz="1" w:space="0" w:color="C0C0C0"/>
              <w:bottom w:val="single" w:sz="1" w:space="0" w:color="C0C0C0"/>
              <w:right w:val="single" w:sz="1" w:space="0" w:color="C0C0C0"/>
            </w:tcBorders>
            <w:tcMar>
              <w:top w:w="80" w:type="dxa"/>
              <w:left w:w="120" w:type="dxa"/>
              <w:bottom w:w="80" w:type="dxa"/>
              <w:right w:w="120" w:type="dxa"/>
            </w:tcMar>
          </w:tcPr>
          <w:p w14:paraId="1E576440" w14:textId="6AB2F03B" w:rsidR="008A61CE" w:rsidRDefault="00865BA3">
            <w:r>
              <w:rPr>
                <w:color w:val="444444"/>
                <w:sz w:val="22"/>
                <w:szCs w:val="22"/>
              </w:rPr>
              <w:t xml:space="preserve">Dr </w:t>
            </w:r>
            <w:proofErr w:type="spellStart"/>
            <w:r>
              <w:rPr>
                <w:color w:val="444444"/>
                <w:sz w:val="22"/>
                <w:szCs w:val="22"/>
              </w:rPr>
              <w:t>Adenya</w:t>
            </w:r>
            <w:proofErr w:type="spellEnd"/>
          </w:p>
        </w:tc>
      </w:tr>
      <w:tr w:rsidR="008A61CE" w14:paraId="277BFF2C" w14:textId="77777777">
        <w:tblPrEx>
          <w:tblCellMar>
            <w:top w:w="0" w:type="dxa"/>
            <w:bottom w:w="0" w:type="dxa"/>
          </w:tblCellMar>
        </w:tblPrEx>
        <w:tc>
          <w:tcPr>
            <w:tcW w:w="2400" w:type="dxa"/>
            <w:tcBorders>
              <w:top w:val="single" w:sz="1" w:space="0" w:color="C0C0C0"/>
              <w:left w:val="single" w:sz="1" w:space="0" w:color="C0C0C0"/>
              <w:bottom w:val="single" w:sz="1" w:space="0" w:color="C0C0C0"/>
              <w:right w:val="single" w:sz="1" w:space="0" w:color="C0C0C0"/>
            </w:tcBorders>
            <w:shd w:val="clear" w:color="auto" w:fill="D6E4F0"/>
            <w:tcMar>
              <w:top w:w="80" w:type="dxa"/>
              <w:left w:w="120" w:type="dxa"/>
              <w:bottom w:w="80" w:type="dxa"/>
              <w:right w:w="120" w:type="dxa"/>
            </w:tcMar>
          </w:tcPr>
          <w:p w14:paraId="353BF0E8" w14:textId="77777777" w:rsidR="008A61CE" w:rsidRDefault="00000000">
            <w:r>
              <w:rPr>
                <w:b/>
                <w:bCs/>
                <w:color w:val="1F3864"/>
                <w:sz w:val="22"/>
                <w:szCs w:val="22"/>
              </w:rPr>
              <w:t>Programme:</w:t>
            </w:r>
          </w:p>
        </w:tc>
        <w:tc>
          <w:tcPr>
            <w:tcW w:w="6626" w:type="dxa"/>
            <w:tcBorders>
              <w:top w:val="single" w:sz="1" w:space="0" w:color="C0C0C0"/>
              <w:left w:val="single" w:sz="1" w:space="0" w:color="C0C0C0"/>
              <w:bottom w:val="single" w:sz="1" w:space="0" w:color="C0C0C0"/>
              <w:right w:val="single" w:sz="1" w:space="0" w:color="C0C0C0"/>
            </w:tcBorders>
            <w:tcMar>
              <w:top w:w="80" w:type="dxa"/>
              <w:left w:w="120" w:type="dxa"/>
              <w:bottom w:w="80" w:type="dxa"/>
              <w:right w:w="120" w:type="dxa"/>
            </w:tcMar>
          </w:tcPr>
          <w:p w14:paraId="5795C38E" w14:textId="2D4FBF3F" w:rsidR="008A61CE" w:rsidRDefault="00865BA3">
            <w:r>
              <w:rPr>
                <w:color w:val="444444"/>
                <w:sz w:val="22"/>
                <w:szCs w:val="22"/>
              </w:rPr>
              <w:t>BSc.</w:t>
            </w:r>
            <w:r w:rsidR="00000000">
              <w:rPr>
                <w:color w:val="444444"/>
                <w:sz w:val="22"/>
                <w:szCs w:val="22"/>
              </w:rPr>
              <w:t xml:space="preserve"> Marine Engineering</w:t>
            </w:r>
          </w:p>
        </w:tc>
      </w:tr>
      <w:tr w:rsidR="008A61CE" w14:paraId="7C596FFA" w14:textId="77777777">
        <w:tblPrEx>
          <w:tblCellMar>
            <w:top w:w="0" w:type="dxa"/>
            <w:bottom w:w="0" w:type="dxa"/>
          </w:tblCellMar>
        </w:tblPrEx>
        <w:tc>
          <w:tcPr>
            <w:tcW w:w="2400" w:type="dxa"/>
            <w:tcBorders>
              <w:top w:val="single" w:sz="1" w:space="0" w:color="C0C0C0"/>
              <w:left w:val="single" w:sz="1" w:space="0" w:color="C0C0C0"/>
              <w:bottom w:val="single" w:sz="1" w:space="0" w:color="C0C0C0"/>
              <w:right w:val="single" w:sz="1" w:space="0" w:color="C0C0C0"/>
            </w:tcBorders>
            <w:shd w:val="clear" w:color="auto" w:fill="D6E4F0"/>
            <w:tcMar>
              <w:top w:w="80" w:type="dxa"/>
              <w:left w:w="120" w:type="dxa"/>
              <w:bottom w:w="80" w:type="dxa"/>
              <w:right w:w="120" w:type="dxa"/>
            </w:tcMar>
          </w:tcPr>
          <w:p w14:paraId="5AF8F3A1" w14:textId="77777777" w:rsidR="008A61CE" w:rsidRDefault="00000000">
            <w:r>
              <w:rPr>
                <w:b/>
                <w:bCs/>
                <w:color w:val="1F3864"/>
                <w:sz w:val="22"/>
                <w:szCs w:val="22"/>
              </w:rPr>
              <w:t>Academic Year:</w:t>
            </w:r>
          </w:p>
        </w:tc>
        <w:tc>
          <w:tcPr>
            <w:tcW w:w="6626" w:type="dxa"/>
            <w:tcBorders>
              <w:top w:val="single" w:sz="1" w:space="0" w:color="C0C0C0"/>
              <w:left w:val="single" w:sz="1" w:space="0" w:color="C0C0C0"/>
              <w:bottom w:val="single" w:sz="1" w:space="0" w:color="C0C0C0"/>
              <w:right w:val="single" w:sz="1" w:space="0" w:color="C0C0C0"/>
            </w:tcBorders>
            <w:tcMar>
              <w:top w:w="80" w:type="dxa"/>
              <w:left w:w="120" w:type="dxa"/>
              <w:bottom w:w="80" w:type="dxa"/>
              <w:right w:w="120" w:type="dxa"/>
            </w:tcMar>
          </w:tcPr>
          <w:p w14:paraId="1BA74D9E" w14:textId="77777777" w:rsidR="008A61CE" w:rsidRDefault="00000000">
            <w:r>
              <w:rPr>
                <w:color w:val="444444"/>
                <w:sz w:val="22"/>
                <w:szCs w:val="22"/>
              </w:rPr>
              <w:t>2025 / 2026</w:t>
            </w:r>
          </w:p>
        </w:tc>
      </w:tr>
      <w:tr w:rsidR="008A61CE" w14:paraId="72B648A9" w14:textId="77777777">
        <w:tblPrEx>
          <w:tblCellMar>
            <w:top w:w="0" w:type="dxa"/>
            <w:bottom w:w="0" w:type="dxa"/>
          </w:tblCellMar>
        </w:tblPrEx>
        <w:tc>
          <w:tcPr>
            <w:tcW w:w="2400" w:type="dxa"/>
            <w:tcBorders>
              <w:top w:val="single" w:sz="1" w:space="0" w:color="C0C0C0"/>
              <w:left w:val="single" w:sz="1" w:space="0" w:color="C0C0C0"/>
              <w:bottom w:val="single" w:sz="1" w:space="0" w:color="C0C0C0"/>
              <w:right w:val="single" w:sz="1" w:space="0" w:color="C0C0C0"/>
            </w:tcBorders>
            <w:shd w:val="clear" w:color="auto" w:fill="D6E4F0"/>
            <w:tcMar>
              <w:top w:w="80" w:type="dxa"/>
              <w:left w:w="120" w:type="dxa"/>
              <w:bottom w:w="80" w:type="dxa"/>
              <w:right w:w="120" w:type="dxa"/>
            </w:tcMar>
          </w:tcPr>
          <w:p w14:paraId="0E29B1E6" w14:textId="77777777" w:rsidR="008A61CE" w:rsidRDefault="00000000">
            <w:r>
              <w:rPr>
                <w:b/>
                <w:bCs/>
                <w:color w:val="1F3864"/>
                <w:sz w:val="22"/>
                <w:szCs w:val="22"/>
              </w:rPr>
              <w:t>Date:</w:t>
            </w:r>
          </w:p>
        </w:tc>
        <w:tc>
          <w:tcPr>
            <w:tcW w:w="6626" w:type="dxa"/>
            <w:tcBorders>
              <w:top w:val="single" w:sz="1" w:space="0" w:color="C0C0C0"/>
              <w:left w:val="single" w:sz="1" w:space="0" w:color="C0C0C0"/>
              <w:bottom w:val="single" w:sz="1" w:space="0" w:color="C0C0C0"/>
              <w:right w:val="single" w:sz="1" w:space="0" w:color="C0C0C0"/>
            </w:tcBorders>
            <w:tcMar>
              <w:top w:w="80" w:type="dxa"/>
              <w:left w:w="120" w:type="dxa"/>
              <w:bottom w:w="80" w:type="dxa"/>
              <w:right w:w="120" w:type="dxa"/>
            </w:tcMar>
          </w:tcPr>
          <w:p w14:paraId="709A8391" w14:textId="77777777" w:rsidR="008A61CE" w:rsidRDefault="00000000">
            <w:r>
              <w:rPr>
                <w:color w:val="444444"/>
                <w:sz w:val="22"/>
                <w:szCs w:val="22"/>
              </w:rPr>
              <w:t>June 2026</w:t>
            </w:r>
          </w:p>
        </w:tc>
      </w:tr>
    </w:tbl>
    <w:p w14:paraId="560E6651" w14:textId="77777777" w:rsidR="008A61CE" w:rsidRDefault="008A61CE">
      <w:pPr>
        <w:spacing w:before="480"/>
      </w:pPr>
    </w:p>
    <w:p w14:paraId="01781310" w14:textId="77777777" w:rsidR="008A61CE" w:rsidRDefault="00000000">
      <w:pPr>
        <w:pStyle w:val="Heading2"/>
        <w:pBdr>
          <w:bottom w:val="single" w:sz="4" w:space="4" w:color="1F3864"/>
        </w:pBdr>
      </w:pPr>
      <w:r>
        <w:t>1. Introduction</w:t>
      </w:r>
    </w:p>
    <w:p w14:paraId="767FF3EC" w14:textId="77777777" w:rsidR="008A61CE" w:rsidRDefault="00000000">
      <w:pPr>
        <w:spacing w:after="160"/>
        <w:jc w:val="both"/>
      </w:pPr>
      <w:r>
        <w:t>The international shipping industry is responsible for approximately 2.89% of global greenhouse gas (GHG) emissions, making it a significant contributor to anthropogenic climate change (IMO, 2023). In recognition of this, the International Maritime Organization (IMO) has adopted a series of increasingly stringent technical and operational measures under MARPOL Annex VI aimed at decarbonising maritime transport. Chief among these are the Energy Efficiency Existing Ship Index (EEXI) and the Carbon Intensity Indicator (CII), both of which became mandatory for applicable vessels on 1 January 2023.</w:t>
      </w:r>
    </w:p>
    <w:p w14:paraId="25BD9DE6" w14:textId="77777777" w:rsidR="008A61CE" w:rsidRDefault="00000000">
      <w:pPr>
        <w:spacing w:after="160"/>
        <w:jc w:val="both"/>
      </w:pPr>
      <w:r>
        <w:t>Despite the regulatory imperative, the maritime industry faces a significant practical challenge: the tools available for real-time emissions monitoring aboard vessels remain either prohibitively expensive, proprietary, or inaccessible to smaller operators. Most existing CII tracking solutions are cloud-based software-as-a-service platforms requiring subscription fees, and none are integrated with widely used open-source navigation software. This gap represents both a technical and operational problem, particularly for operators of vessels in developing maritime economies who may lack the resources to procure commercial compliance solutions.</w:t>
      </w:r>
    </w:p>
    <w:p w14:paraId="765F34A0" w14:textId="77777777" w:rsidR="008A61CE" w:rsidRDefault="00000000">
      <w:pPr>
        <w:spacing w:after="160"/>
        <w:jc w:val="both"/>
      </w:pPr>
      <w:r>
        <w:t xml:space="preserve">This project proposes the design and development of a functional software plugin for </w:t>
      </w:r>
      <w:proofErr w:type="spellStart"/>
      <w:r>
        <w:t>OpenCPN</w:t>
      </w:r>
      <w:proofErr w:type="spellEnd"/>
      <w:r>
        <w:t xml:space="preserve"> — a widely used, open-source chart plotter and navigation application maintained under the GNU General Public Licence v2 — that calculates and displays a vessel's EEXI compliance status and running CII rating in real time, using Automatic Identification System (AIS) data and GPS positional input already available within the navigation environment. The plugin will be implemented in C++ using the </w:t>
      </w:r>
      <w:proofErr w:type="spellStart"/>
      <w:r>
        <w:t>OpenCPN</w:t>
      </w:r>
      <w:proofErr w:type="spellEnd"/>
      <w:r>
        <w:t xml:space="preserve"> Plugin Application Programming Interface (API) and the </w:t>
      </w:r>
      <w:proofErr w:type="spellStart"/>
      <w:r>
        <w:t>wxWidgets</w:t>
      </w:r>
      <w:proofErr w:type="spellEnd"/>
      <w:r>
        <w:t xml:space="preserve"> cross-platform graphical framework.</w:t>
      </w:r>
    </w:p>
    <w:p w14:paraId="3D72E78B" w14:textId="77777777" w:rsidR="008A61CE" w:rsidRDefault="00000000">
      <w:pPr>
        <w:pStyle w:val="Heading2"/>
        <w:pBdr>
          <w:bottom w:val="single" w:sz="4" w:space="4" w:color="1F3864"/>
        </w:pBdr>
      </w:pPr>
      <w:r>
        <w:t>2. Background and Motivation</w:t>
      </w:r>
    </w:p>
    <w:p w14:paraId="7C299E6D" w14:textId="77777777" w:rsidR="008A61CE" w:rsidRDefault="00000000">
      <w:pPr>
        <w:spacing w:after="160"/>
        <w:jc w:val="both"/>
      </w:pPr>
      <w:r>
        <w:lastRenderedPageBreak/>
        <w:t>The EEXI is a design-based metric that quantifies the energy efficiency of a ship relative to its installed propulsion power, deadweight capacity, and service speed. Regulated under MARPOL Annex VI Regulation 23, each ship must demonstrate that its attained EEXI — calculated once — is below a required EEXI threshold defined per ship type and size category. The required EEXI is broadly aligned with the Energy Efficiency Design Index (EEDI) Phase 2 standard applicable to new ships as of 2023 (IMO, 2022).</w:t>
      </w:r>
    </w:p>
    <w:p w14:paraId="63AFC11E" w14:textId="77777777" w:rsidR="008A61CE" w:rsidRDefault="00000000">
      <w:pPr>
        <w:spacing w:after="160"/>
        <w:jc w:val="both"/>
      </w:pPr>
      <w:r>
        <w:t>The CII, regulated under MARPOL Annex VI Regulation 28, is an operational metric that assesses how efficiently a vessel transports cargo or passengers relative to the GHG emissions it produces over a calendar year. The IMO accepts the Annual Efficiency Ratio (AER) as the primary CII calculation method for most commercial vessel types. AER is expressed as the ratio of total annual CO₂ emissions to the product of the vessel's deadweight tonnage (DWT) and distance sailed in nautical miles (IMO, 2021). A ship is assigned a rating from A (most efficient) to E (least efficient) based on comparison of its attained CII against a required CII reference line. Critically, the required CII tightens by a reduction factor of 2% per annum from 2023 onwards, meaning that maintaining a given rating becomes progressively more demanding over time.</w:t>
      </w:r>
    </w:p>
    <w:p w14:paraId="6890901C" w14:textId="77777777" w:rsidR="008A61CE" w:rsidRDefault="00000000">
      <w:pPr>
        <w:spacing w:after="160"/>
        <w:jc w:val="both"/>
      </w:pPr>
      <w:r>
        <w:t>A vessel rated D for three consecutive years, or E in any single year, is required to submit a corrective action plan as part of its Ship Energy Efficiency Management Plan (SEEMP Part III), which must be verified by a recognised organisation (RO) or flag administration. This regulatory consequence underscores the importance of continuous operational monitoring rather than retrospective annual reporting alone.</w:t>
      </w:r>
    </w:p>
    <w:p w14:paraId="0CF577D0" w14:textId="77777777" w:rsidR="008A61CE" w:rsidRDefault="00000000">
      <w:pPr>
        <w:spacing w:after="160"/>
        <w:jc w:val="both"/>
      </w:pPr>
      <w:proofErr w:type="spellStart"/>
      <w:r>
        <w:t>OpenCPN</w:t>
      </w:r>
      <w:proofErr w:type="spellEnd"/>
      <w:r>
        <w:t xml:space="preserve"> is a cross-platform, ship-borne navigation application actively maintained on GitHub and in widespread use globally across commercial and recreational maritime sectors. It supports a mature plugin architecture through which third-party developers can extend its functionality by implementing a standardised C++ interface. Existing plugins include engine dashboards, AIS radar overlays, tide predictors, and voyage loggers. Notably, no existing plugin provides EEXI or CII compliance monitoring, representing a clear and addressable gap in the open-source maritime software ecosystem.</w:t>
      </w:r>
    </w:p>
    <w:p w14:paraId="400220C8" w14:textId="77777777" w:rsidR="008A61CE" w:rsidRDefault="00000000">
      <w:pPr>
        <w:pStyle w:val="Heading2"/>
        <w:pBdr>
          <w:bottom w:val="single" w:sz="4" w:space="4" w:color="1F3864"/>
        </w:pBdr>
      </w:pPr>
      <w:r>
        <w:t>3. Problem Statement</w:t>
      </w:r>
    </w:p>
    <w:p w14:paraId="2CB077AB" w14:textId="77777777" w:rsidR="008A61CE" w:rsidRDefault="00000000">
      <w:pPr>
        <w:spacing w:after="160"/>
        <w:jc w:val="both"/>
      </w:pPr>
      <w:r>
        <w:t>Although the EEXI and CII regulatory framework has been mandatory since January 2023, real-time operational awareness of CII performance during a voyage remains limited in practice. Compliance is typically assessed retrospectively through annual DCS (Data Collection System) submissions, providing little opportunity for masters or operators to make informed speed or routing adjustments that could improve a vessel's end-of-year rating. Commercial monitoring platforms exist, but their cost and proprietary nature place them beyond the reach of many operators, particularly in emerging maritime markets.</w:t>
      </w:r>
    </w:p>
    <w:p w14:paraId="08EB9AE4" w14:textId="77777777" w:rsidR="008A61CE" w:rsidRDefault="00000000">
      <w:pPr>
        <w:spacing w:after="160"/>
        <w:jc w:val="both"/>
      </w:pPr>
      <w:r>
        <w:t>Furthermore, no open-source tool currently integrates CII tracking with a live navigation environment. This project seeks to address this problem by delivering a freely available, standards-compliant software plugin that leverages the AIS and GPS data streams already present in a vessel's navigation suite to compute and display real-time CII performance, enabling proactive voyage management without additional hardware cost.</w:t>
      </w:r>
    </w:p>
    <w:p w14:paraId="51A1C00B" w14:textId="77777777" w:rsidR="008A61CE" w:rsidRDefault="00000000">
      <w:pPr>
        <w:pStyle w:val="Heading2"/>
        <w:pBdr>
          <w:bottom w:val="single" w:sz="4" w:space="4" w:color="1F3864"/>
        </w:pBdr>
      </w:pPr>
      <w:r>
        <w:lastRenderedPageBreak/>
        <w:t>4. Aim and Objectives</w:t>
      </w:r>
    </w:p>
    <w:p w14:paraId="45514E12" w14:textId="77777777" w:rsidR="008A61CE" w:rsidRDefault="00000000">
      <w:pPr>
        <w:spacing w:after="100"/>
        <w:jc w:val="both"/>
      </w:pPr>
      <w:r>
        <w:t xml:space="preserve">The aim of this project is to design, implement, and validate a functional </w:t>
      </w:r>
      <w:proofErr w:type="spellStart"/>
      <w:r>
        <w:t>OpenCPN</w:t>
      </w:r>
      <w:proofErr w:type="spellEnd"/>
      <w:r>
        <w:t xml:space="preserve"> plugin that provides real-time EEXI compliance status and running CII rating estimation for vessels of 5,000 gross tonnage and above, using live AIS and GPS data available within the </w:t>
      </w:r>
      <w:proofErr w:type="spellStart"/>
      <w:r>
        <w:t>OpenCPN</w:t>
      </w:r>
      <w:proofErr w:type="spellEnd"/>
      <w:r>
        <w:t xml:space="preserve"> navigation environment.</w:t>
      </w:r>
    </w:p>
    <w:p w14:paraId="5B2CEDD7" w14:textId="77777777" w:rsidR="008A61CE" w:rsidRDefault="00000000">
      <w:pPr>
        <w:spacing w:before="120" w:after="60"/>
      </w:pPr>
      <w:r>
        <w:t>The specific objectives of this project are:</w:t>
      </w:r>
    </w:p>
    <w:p w14:paraId="65AD411F" w14:textId="77777777" w:rsidR="008A61CE" w:rsidRDefault="00000000">
      <w:pPr>
        <w:pStyle w:val="ListParagraph"/>
        <w:numPr>
          <w:ilvl w:val="0"/>
          <w:numId w:val="2"/>
        </w:numPr>
        <w:spacing w:after="120"/>
      </w:pPr>
      <w:r>
        <w:t>To review and critically analyse the IMO regulatory framework governing EEXI and CII, including the AER calculation methodology and the required CII reference lines for applicable vessel types.</w:t>
      </w:r>
    </w:p>
    <w:p w14:paraId="42A8314E" w14:textId="77777777" w:rsidR="008A61CE" w:rsidRDefault="00000000">
      <w:pPr>
        <w:pStyle w:val="ListParagraph"/>
        <w:numPr>
          <w:ilvl w:val="0"/>
          <w:numId w:val="2"/>
        </w:numPr>
        <w:spacing w:after="120"/>
      </w:pPr>
      <w:r>
        <w:t>To design a modular CII calculation engine in C++ that estimates fuel consumption using the Admiralty Coefficient method and computes AER from accumulated voyage data.</w:t>
      </w:r>
    </w:p>
    <w:p w14:paraId="49785E85" w14:textId="77777777" w:rsidR="008A61CE" w:rsidRDefault="00000000">
      <w:pPr>
        <w:pStyle w:val="ListParagraph"/>
        <w:numPr>
          <w:ilvl w:val="0"/>
          <w:numId w:val="2"/>
        </w:numPr>
        <w:spacing w:after="120"/>
      </w:pPr>
      <w:r>
        <w:t xml:space="preserve">To implement the plugin within the </w:t>
      </w:r>
      <w:proofErr w:type="spellStart"/>
      <w:r>
        <w:t>OpenCPN</w:t>
      </w:r>
      <w:proofErr w:type="spellEnd"/>
      <w:r>
        <w:t xml:space="preserve"> Plugin API, integrating NMEA 0183 sentence parsing for speed over ground (SOG) and positional data from GPS and AIS message streams.</w:t>
      </w:r>
    </w:p>
    <w:p w14:paraId="29CEDE59" w14:textId="77777777" w:rsidR="008A61CE" w:rsidRDefault="00000000">
      <w:pPr>
        <w:pStyle w:val="ListParagraph"/>
        <w:numPr>
          <w:ilvl w:val="0"/>
          <w:numId w:val="2"/>
        </w:numPr>
        <w:spacing w:after="120"/>
      </w:pPr>
      <w:r>
        <w:t xml:space="preserve">To develop a real-time graphical dashboard within the </w:t>
      </w:r>
      <w:proofErr w:type="spellStart"/>
      <w:r>
        <w:t>OpenCPN</w:t>
      </w:r>
      <w:proofErr w:type="spellEnd"/>
      <w:r>
        <w:t xml:space="preserve"> interface displaying current vessel speed, estimated CO₂ emission rate, accumulated AER, and CII rating (A–E).</w:t>
      </w:r>
    </w:p>
    <w:p w14:paraId="0034C17F" w14:textId="77777777" w:rsidR="008A61CE" w:rsidRDefault="00000000">
      <w:pPr>
        <w:pStyle w:val="ListParagraph"/>
        <w:numPr>
          <w:ilvl w:val="0"/>
          <w:numId w:val="2"/>
        </w:numPr>
        <w:spacing w:after="120"/>
      </w:pPr>
      <w:r>
        <w:t>To validate the plugin's calculations by replaying publicly available AIS voyage log data and cross-checking computed CII values against manual calculations performed in accordance with IMO guidelines.</w:t>
      </w:r>
    </w:p>
    <w:p w14:paraId="02EFCB5B" w14:textId="77777777" w:rsidR="008A61CE" w:rsidRDefault="00000000">
      <w:pPr>
        <w:pStyle w:val="ListParagraph"/>
        <w:numPr>
          <w:ilvl w:val="0"/>
          <w:numId w:val="2"/>
        </w:numPr>
        <w:spacing w:after="120"/>
      </w:pPr>
      <w:r>
        <w:t>To evaluate the practical applicability and limitations of the plugin, including the accuracy of the Admiralty-based fuel estimation model and its suitability for integration into a vessel's existing navigation workflow.</w:t>
      </w:r>
    </w:p>
    <w:p w14:paraId="44590799" w14:textId="77777777" w:rsidR="008A61CE" w:rsidRDefault="00000000">
      <w:pPr>
        <w:pStyle w:val="Heading2"/>
        <w:pBdr>
          <w:bottom w:val="single" w:sz="4" w:space="4" w:color="1F3864"/>
        </w:pBdr>
      </w:pPr>
      <w:r>
        <w:t>5. Significance of the Project</w:t>
      </w:r>
    </w:p>
    <w:p w14:paraId="268560DF" w14:textId="77777777" w:rsidR="008A61CE" w:rsidRDefault="00000000">
      <w:pPr>
        <w:spacing w:after="160"/>
        <w:jc w:val="both"/>
      </w:pPr>
      <w:r>
        <w:t>This project makes a tangible contribution to the intersection of maritime regulatory compliance and open-source software development. By embedding CII monitoring within a freely available navigation platform, the plugin has the potential to democratise access to emissions compliance tools, particularly for smaller operators and those in developing maritime economies who rely on open-source navigation systems.</w:t>
      </w:r>
    </w:p>
    <w:p w14:paraId="65E21EEE" w14:textId="77777777" w:rsidR="008A61CE" w:rsidRDefault="00000000">
      <w:pPr>
        <w:spacing w:after="160"/>
        <w:jc w:val="both"/>
      </w:pPr>
      <w:r>
        <w:t>From an academic standpoint, the project integrates knowledge from marine engineering systems, thermodynamics, maritime law and regulation, software engineering, and signal processing — reflecting the interdisciplinary nature of modern marine engineering practice. The deliverable is a working software artefact that can be demonstrated, tested, and independently validated, providing a robust basis for academic examination and professional portfolio development.</w:t>
      </w:r>
    </w:p>
    <w:p w14:paraId="2EC97B16" w14:textId="77777777" w:rsidR="008A61CE" w:rsidRDefault="00000000">
      <w:pPr>
        <w:spacing w:after="160"/>
        <w:jc w:val="both"/>
      </w:pPr>
      <w:r>
        <w:t>The project is also timely. As the IMO's reduction factor for CII tightens annually and the consequences of poor ratings escalate, the demand for accessible, real-time compliance monitoring tools will only increase. A validated, open-source solution contributes directly to the body of knowledge and tooling available to the global maritime community.</w:t>
      </w:r>
    </w:p>
    <w:p w14:paraId="0283C0AE" w14:textId="77777777" w:rsidR="008A61CE" w:rsidRDefault="00000000">
      <w:pPr>
        <w:pStyle w:val="Heading2"/>
        <w:pBdr>
          <w:bottom w:val="single" w:sz="4" w:space="4" w:color="1F3864"/>
        </w:pBdr>
      </w:pPr>
      <w:r>
        <w:t>References</w:t>
      </w:r>
    </w:p>
    <w:p w14:paraId="138383D8" w14:textId="77777777" w:rsidR="008A61CE" w:rsidRDefault="00000000">
      <w:pPr>
        <w:spacing w:after="120"/>
        <w:ind w:left="720" w:hanging="720"/>
        <w:jc w:val="both"/>
      </w:pPr>
      <w:r>
        <w:rPr>
          <w:color w:val="444444"/>
          <w:sz w:val="22"/>
          <w:szCs w:val="22"/>
        </w:rPr>
        <w:lastRenderedPageBreak/>
        <w:t>International Maritime Organization (IMO) (2021). Resolution MEPC.337(76): 2021 Guidelines on the Operational Carbon Intensity Indicators and the Rating of Ships. London: IMO.</w:t>
      </w:r>
    </w:p>
    <w:p w14:paraId="3765A487" w14:textId="77777777" w:rsidR="008A61CE" w:rsidRDefault="00000000">
      <w:pPr>
        <w:spacing w:after="120"/>
        <w:ind w:left="720" w:hanging="720"/>
        <w:jc w:val="both"/>
      </w:pPr>
      <w:r>
        <w:rPr>
          <w:color w:val="444444"/>
          <w:sz w:val="22"/>
          <w:szCs w:val="22"/>
        </w:rPr>
        <w:t>International Maritime Organization (IMO) (2022). Resolution MEPC.333(76): 2021 Guidelines on the Energy Efficiency Existing Ship Index (EEXI). London: IMO.</w:t>
      </w:r>
    </w:p>
    <w:p w14:paraId="51659C38" w14:textId="77777777" w:rsidR="008A61CE" w:rsidRDefault="00000000">
      <w:pPr>
        <w:spacing w:after="120"/>
        <w:ind w:left="720" w:hanging="720"/>
        <w:jc w:val="both"/>
      </w:pPr>
      <w:r>
        <w:rPr>
          <w:color w:val="444444"/>
          <w:sz w:val="22"/>
          <w:szCs w:val="22"/>
        </w:rPr>
        <w:t>International Maritime Organization (IMO) (2023). Fourth IMO GHG Study 2020 — Update. London: IMO.</w:t>
      </w:r>
    </w:p>
    <w:p w14:paraId="4226EDA1" w14:textId="77777777" w:rsidR="008A61CE" w:rsidRDefault="00000000">
      <w:pPr>
        <w:spacing w:after="120"/>
        <w:ind w:left="720" w:hanging="720"/>
        <w:jc w:val="both"/>
      </w:pPr>
      <w:r>
        <w:rPr>
          <w:color w:val="444444"/>
          <w:sz w:val="22"/>
          <w:szCs w:val="22"/>
        </w:rPr>
        <w:t xml:space="preserve">Fossen, T.I. (2021). Handbook of Marine Craft Hydrodynamics and Motion Control. 2nd </w:t>
      </w:r>
      <w:proofErr w:type="spellStart"/>
      <w:r>
        <w:rPr>
          <w:color w:val="444444"/>
          <w:sz w:val="22"/>
          <w:szCs w:val="22"/>
        </w:rPr>
        <w:t>edn</w:t>
      </w:r>
      <w:proofErr w:type="spellEnd"/>
      <w:r>
        <w:rPr>
          <w:color w:val="444444"/>
          <w:sz w:val="22"/>
          <w:szCs w:val="22"/>
        </w:rPr>
        <w:t>. Chichester: Wiley.</w:t>
      </w:r>
    </w:p>
    <w:p w14:paraId="6A7718CB" w14:textId="77777777" w:rsidR="008A61CE" w:rsidRDefault="00000000">
      <w:pPr>
        <w:spacing w:after="120"/>
        <w:ind w:left="720" w:hanging="720"/>
        <w:jc w:val="both"/>
      </w:pPr>
      <w:proofErr w:type="spellStart"/>
      <w:r>
        <w:rPr>
          <w:color w:val="444444"/>
          <w:sz w:val="22"/>
          <w:szCs w:val="22"/>
        </w:rPr>
        <w:t>OpenCPN</w:t>
      </w:r>
      <w:proofErr w:type="spellEnd"/>
      <w:r>
        <w:rPr>
          <w:color w:val="444444"/>
          <w:sz w:val="22"/>
          <w:szCs w:val="22"/>
        </w:rPr>
        <w:t xml:space="preserve"> Development Team (2025). </w:t>
      </w:r>
      <w:proofErr w:type="spellStart"/>
      <w:r>
        <w:rPr>
          <w:color w:val="444444"/>
          <w:sz w:val="22"/>
          <w:szCs w:val="22"/>
        </w:rPr>
        <w:t>OpenCPN</w:t>
      </w:r>
      <w:proofErr w:type="spellEnd"/>
      <w:r>
        <w:rPr>
          <w:color w:val="444444"/>
          <w:sz w:val="22"/>
          <w:szCs w:val="22"/>
        </w:rPr>
        <w:t>: A Concise Chart Plotter/Navigator. Available at: https://github.com/OpenCPN/OpenCPN [Accessed: June 2026].</w:t>
      </w:r>
    </w:p>
    <w:p w14:paraId="75FF25BE" w14:textId="77777777" w:rsidR="008A61CE" w:rsidRDefault="00000000">
      <w:pPr>
        <w:spacing w:after="120"/>
        <w:ind w:left="720" w:hanging="720"/>
        <w:jc w:val="both"/>
      </w:pPr>
      <w:r>
        <w:rPr>
          <w:color w:val="444444"/>
          <w:sz w:val="22"/>
          <w:szCs w:val="22"/>
        </w:rPr>
        <w:t>MARPOL Annex VI, Regulation 23 — Attained Energy Efficiency Existing Ship Index (EEXI). Consolidated edition, 2022.</w:t>
      </w:r>
    </w:p>
    <w:p w14:paraId="5857EFD8" w14:textId="77777777" w:rsidR="008A61CE" w:rsidRDefault="00000000">
      <w:pPr>
        <w:spacing w:after="120"/>
        <w:ind w:left="720" w:hanging="720"/>
        <w:jc w:val="both"/>
      </w:pPr>
      <w:r>
        <w:rPr>
          <w:color w:val="444444"/>
          <w:sz w:val="22"/>
          <w:szCs w:val="22"/>
        </w:rPr>
        <w:t>MARPOL Annex VI, Regulation 28 — Operational Carbon Intensity Indicators. Consolidated edition, 2022.</w:t>
      </w:r>
    </w:p>
    <w:sectPr w:rsidR="008A61CE">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4A2ECD"/>
    <w:multiLevelType w:val="hybridMultilevel"/>
    <w:tmpl w:val="4E9AD298"/>
    <w:lvl w:ilvl="0" w:tplc="9AD0CA2E">
      <w:start w:val="1"/>
      <w:numFmt w:val="bullet"/>
      <w:lvlText w:val="●"/>
      <w:lvlJc w:val="left"/>
      <w:pPr>
        <w:ind w:left="720" w:hanging="360"/>
      </w:pPr>
    </w:lvl>
    <w:lvl w:ilvl="1" w:tplc="BEC410B2">
      <w:start w:val="1"/>
      <w:numFmt w:val="bullet"/>
      <w:lvlText w:val="○"/>
      <w:lvlJc w:val="left"/>
      <w:pPr>
        <w:ind w:left="1440" w:hanging="360"/>
      </w:pPr>
    </w:lvl>
    <w:lvl w:ilvl="2" w:tplc="D8B41704">
      <w:start w:val="1"/>
      <w:numFmt w:val="bullet"/>
      <w:lvlText w:val="■"/>
      <w:lvlJc w:val="left"/>
      <w:pPr>
        <w:ind w:left="2160" w:hanging="360"/>
      </w:pPr>
    </w:lvl>
    <w:lvl w:ilvl="3" w:tplc="679AFA98">
      <w:start w:val="1"/>
      <w:numFmt w:val="bullet"/>
      <w:lvlText w:val="●"/>
      <w:lvlJc w:val="left"/>
      <w:pPr>
        <w:ind w:left="2880" w:hanging="360"/>
      </w:pPr>
    </w:lvl>
    <w:lvl w:ilvl="4" w:tplc="5ED8035E">
      <w:start w:val="1"/>
      <w:numFmt w:val="bullet"/>
      <w:lvlText w:val="○"/>
      <w:lvlJc w:val="left"/>
      <w:pPr>
        <w:ind w:left="3600" w:hanging="360"/>
      </w:pPr>
    </w:lvl>
    <w:lvl w:ilvl="5" w:tplc="73C8626E">
      <w:start w:val="1"/>
      <w:numFmt w:val="bullet"/>
      <w:lvlText w:val="■"/>
      <w:lvlJc w:val="left"/>
      <w:pPr>
        <w:ind w:left="4320" w:hanging="360"/>
      </w:pPr>
    </w:lvl>
    <w:lvl w:ilvl="6" w:tplc="791A5158">
      <w:start w:val="1"/>
      <w:numFmt w:val="bullet"/>
      <w:lvlText w:val="●"/>
      <w:lvlJc w:val="left"/>
      <w:pPr>
        <w:ind w:left="5040" w:hanging="360"/>
      </w:pPr>
    </w:lvl>
    <w:lvl w:ilvl="7" w:tplc="0FD82B48">
      <w:start w:val="1"/>
      <w:numFmt w:val="bullet"/>
      <w:lvlText w:val="●"/>
      <w:lvlJc w:val="left"/>
      <w:pPr>
        <w:ind w:left="5760" w:hanging="360"/>
      </w:pPr>
    </w:lvl>
    <w:lvl w:ilvl="8" w:tplc="EF2E6D90">
      <w:start w:val="1"/>
      <w:numFmt w:val="bullet"/>
      <w:lvlText w:val="●"/>
      <w:lvlJc w:val="left"/>
      <w:pPr>
        <w:ind w:left="6480" w:hanging="360"/>
      </w:pPr>
    </w:lvl>
  </w:abstractNum>
  <w:abstractNum w:abstractNumId="1" w15:restartNumberingAfterBreak="0">
    <w:nsid w:val="1937761A"/>
    <w:multiLevelType w:val="hybridMultilevel"/>
    <w:tmpl w:val="2E84DC88"/>
    <w:lvl w:ilvl="0" w:tplc="0AE2C474">
      <w:start w:val="1"/>
      <w:numFmt w:val="decimal"/>
      <w:lvlText w:val="%1."/>
      <w:lvlJc w:val="left"/>
      <w:pPr>
        <w:ind w:left="720" w:hanging="360"/>
      </w:pPr>
    </w:lvl>
    <w:lvl w:ilvl="1" w:tplc="0F102D28">
      <w:numFmt w:val="decimal"/>
      <w:lvlText w:val=""/>
      <w:lvlJc w:val="left"/>
    </w:lvl>
    <w:lvl w:ilvl="2" w:tplc="BD284E16">
      <w:numFmt w:val="decimal"/>
      <w:lvlText w:val=""/>
      <w:lvlJc w:val="left"/>
    </w:lvl>
    <w:lvl w:ilvl="3" w:tplc="0FFED66E">
      <w:numFmt w:val="decimal"/>
      <w:lvlText w:val=""/>
      <w:lvlJc w:val="left"/>
    </w:lvl>
    <w:lvl w:ilvl="4" w:tplc="C380AF62">
      <w:numFmt w:val="decimal"/>
      <w:lvlText w:val=""/>
      <w:lvlJc w:val="left"/>
    </w:lvl>
    <w:lvl w:ilvl="5" w:tplc="B27CED00">
      <w:numFmt w:val="decimal"/>
      <w:lvlText w:val=""/>
      <w:lvlJc w:val="left"/>
    </w:lvl>
    <w:lvl w:ilvl="6" w:tplc="C854F28C">
      <w:numFmt w:val="decimal"/>
      <w:lvlText w:val=""/>
      <w:lvlJc w:val="left"/>
    </w:lvl>
    <w:lvl w:ilvl="7" w:tplc="8542B05C">
      <w:numFmt w:val="decimal"/>
      <w:lvlText w:val=""/>
      <w:lvlJc w:val="left"/>
    </w:lvl>
    <w:lvl w:ilvl="8" w:tplc="2BF24920">
      <w:numFmt w:val="decimal"/>
      <w:lvlText w:val=""/>
      <w:lvlJc w:val="left"/>
    </w:lvl>
  </w:abstractNum>
  <w:num w:numId="1" w16cid:durableId="1524591381">
    <w:abstractNumId w:val="0"/>
    <w:lvlOverride w:ilvl="0">
      <w:startOverride w:val="1"/>
    </w:lvlOverride>
  </w:num>
  <w:num w:numId="2" w16cid:durableId="102100666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A61CE"/>
    <w:rsid w:val="00865BA3"/>
    <w:rsid w:val="008A61CE"/>
    <w:rsid w:val="00C8485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9871B8"/>
  <w15:docId w15:val="{CD9B0C6A-18BE-4FD4-93C5-DD07E83D59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color w:val="222222"/>
        <w:sz w:val="24"/>
        <w:szCs w:val="24"/>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spacing w:before="280" w:after="120"/>
      <w:outlineLvl w:val="1"/>
    </w:pPr>
    <w:rPr>
      <w:b/>
      <w:bCs/>
      <w:color w:val="1F3864"/>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1378</Words>
  <Characters>7860</Characters>
  <Application>Microsoft Office Word</Application>
  <DocSecurity>0</DocSecurity>
  <Lines>65</Lines>
  <Paragraphs>18</Paragraphs>
  <ScaleCrop>false</ScaleCrop>
  <Company/>
  <LinksUpToDate>false</LinksUpToDate>
  <CharactersWithSpaces>9220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Farid Nahadi</cp:lastModifiedBy>
  <cp:revision>2</cp:revision>
  <dcterms:created xsi:type="dcterms:W3CDTF">2026-07-08T06:16:00Z</dcterms:created>
  <dcterms:modified xsi:type="dcterms:W3CDTF">2026-07-08T06:16:00Z</dcterms:modified>
</cp:coreProperties>
</file>