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Employee Attrition: Executive Summary</w:t>
      </w:r>
    </w:p>
    <w:p>
      <w:pPr>
        <w:pBdr>
          <w:bottom w:val="single" w:color="1F4E79" w:sz="6" w:space="1"/>
        </w:pBdr>
        <w:spacing w:after="160"/>
      </w:pPr>
      <w:r>
        <w:rPr>
          <w:i/>
          <w:iCs/>
          <w:color w:val="555555"/>
          <w:sz w:val="19"/>
          <w:szCs w:val="19"/>
        </w:rPr>
        <w:t xml:space="preserve">Prepared for HR Leadership  |  Based on analysis of 1,470 employee records</w:t>
      </w:r>
    </w:p>
    <w:p>
      <w:pPr>
        <w:pStyle w:val="Heading2"/>
      </w:pPr>
      <w:r>
        <w:t xml:space="preserve">Project Objective</w:t>
      </w:r>
    </w:p>
    <w:p>
      <w:pPr>
        <w:spacing w:after="120"/>
      </w:pPr>
      <w:r>
        <w:t>I built a predictive model to identify which employees are most likely to leave the company, using historical HR data. The goal is to help HR move from reacting to resignations after they happen, to proactively identifying and supporting at-risk employees before they decide to leave.</w:t>
      </w:r>
    </w:p>
    <w:p>
      <w:pPr>
        <w:pStyle w:val="Heading2"/>
      </w:pPr>
      <w:r>
        <w:t xml:space="preserve">Key Findings</w:t>
      </w:r>
    </w:p>
    <w:p>
      <w:pPr>
        <w:pStyle w:val="ListParagraph"/>
        <w:numPr>
          <w:ilvl w:val="0"/>
          <w:numId w:val="2"/>
        </w:numPr>
        <w:spacing w:after="60"/>
      </w:pPr>
      <w:r>
        <w:rPr>
          <w:b/>
          <w:bCs/>
        </w:rPr>
        <w:t xml:space="preserve">Overtime is the single biggest red flag. </w:t>
      </w:r>
      <w:r>
        <w:t xml:space="preserve">Employees who work overtime leave at a 30.5% rate, compared to just 10.4% for those who don’t — nearly three times higher.</w:t>
      </w:r>
    </w:p>
    <w:p>
      <w:pPr>
        <w:pStyle w:val="ListParagraph"/>
        <w:numPr>
          <w:ilvl w:val="0"/>
          <w:numId w:val="2"/>
        </w:numPr>
        <w:spacing w:after="60"/>
      </w:pPr>
      <w:r>
        <w:rPr>
          <w:b/>
          <w:bCs/>
        </w:rPr>
        <w:t xml:space="preserve">Sales Representatives are at extreme risk. </w:t>
      </w:r>
      <w:r>
        <w:t xml:space="preserve">This role has a 39.8% attrition rate — by far the highest of any role in the company, and nearly double the next-highest role.</w:t>
      </w:r>
    </w:p>
    <w:p>
      <w:pPr>
        <w:pStyle w:val="ListParagraph"/>
        <w:numPr>
          <w:ilvl w:val="0"/>
          <w:numId w:val="2"/>
        </w:numPr>
        <w:spacing w:after="60"/>
      </w:pPr>
      <w:r>
        <w:rPr>
          <w:b/>
          <w:bCs/>
        </w:rPr>
        <w:t xml:space="preserve">The first few years matter most. </w:t>
      </w:r>
      <w:r>
        <w:t xml:space="preserve">Employees who leave have a median tenure of just 3 years, versus 6 years for those who stay. Risk is highest early in someone’s time at the company.</w:t>
      </w:r>
    </w:p>
    <w:p>
      <w:pPr>
        <w:pStyle w:val="ListParagraph"/>
        <w:numPr>
          <w:ilvl w:val="0"/>
          <w:numId w:val="2"/>
        </w:numPr>
        <w:spacing w:after="60"/>
      </w:pPr>
      <w:r>
        <w:rPr>
          <w:b/>
          <w:bCs/>
        </w:rPr>
        <w:t xml:space="preserve">Pay matters, but doesn’t fully explain attrition. </w:t>
      </w:r>
      <w:r>
        <w:t xml:space="preserve">Employees who leave earn a median of $3,202/month versus $5,204/month for those who stay, but well-paid roles like Manager remain very stable (4.9% attrition) — so pay alone is not the fix.</w:t>
      </w:r>
    </w:p>
    <w:p>
      <w:pPr>
        <w:pStyle w:val="ListParagraph"/>
        <w:numPr>
          <w:ilvl w:val="0"/>
          <w:numId w:val="2"/>
        </w:numPr>
        <w:spacing w:after="60"/>
      </w:pPr>
      <w:r>
        <w:rPr>
          <w:b/>
          <w:bCs/>
        </w:rPr>
        <w:t xml:space="preserve">Poor work-life balance roughly doubles risk. </w:t>
      </w:r>
      <w:r>
        <w:t xml:space="preserve">Employees rating their work-life balance as “Bad” leave at a 31.3% rate, compared to 14–18% for every better rating tier.</w:t>
      </w:r>
    </w:p>
    <w:p>
      <w:pPr>
        <w:pStyle w:val="Heading2"/>
      </w:pPr>
      <w:r>
        <w:t xml:space="preserve">Best-Performing Model</w:t>
      </w:r>
    </w:p>
    <w:p>
      <w:pPr>
        <w:spacing w:after="120"/>
      </w:pPr>
      <w:r>
        <w:t>I tested three different modeling approaches (Logistic Regression, Random Forest, and Gradient Boosting). Logistic Regression was selected as the best model. It was chosen not for its raw accuracy, but because it strikes the best balance between accuracy and catching the employees who actually go on to leave — the metric that matters most for a retention program.</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4770"/>
        <w:gridCol w:w="4770"/>
      </w:tblGrid>
      <w:tr>
        <w:tc>
          <w:tcPr>
            <w:tcW w:type="dxa" w:w="47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Metric</w:t>
            </w:r>
          </w:p>
        </w:tc>
        <w:tc>
          <w:tcPr>
            <w:tcW w:type="dxa" w:w="47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Result</w:t>
            </w:r>
          </w:p>
        </w:tc>
      </w:tr>
      <w:tr>
        <w:tc>
          <w:tcPr>
            <w:tcW w:type="dxa" w:w="47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Overall Accuracy</w:t>
            </w:r>
          </w:p>
        </w:tc>
        <w:tc>
          <w:tcPr>
            <w:tcW w:type="dxa" w:w="47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75.5%</w:t>
            </w:r>
          </w:p>
        </w:tc>
      </w:tr>
      <w:tr>
        <w:tc>
          <w:tcPr>
            <w:tcW w:type="dxa" w:w="47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Catches employees who actually leave (Recall)</w:t>
            </w:r>
          </w:p>
        </w:tc>
        <w:tc>
          <w:tcPr>
            <w:tcW w:type="dxa" w:w="47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66.0%</w:t>
            </w:r>
          </w:p>
        </w:tc>
      </w:tr>
      <w:tr>
        <w:tc>
          <w:tcPr>
            <w:tcW w:type="dxa" w:w="47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Overall discriminative power (ROC AUC)</w:t>
            </w:r>
          </w:p>
        </w:tc>
        <w:tc>
          <w:tcPr>
            <w:tcW w:type="dxa" w:w="47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0.80</w:t>
            </w:r>
          </w:p>
        </w:tc>
      </w:tr>
    </w:tbl>
    <w:p>
      <w:pPr>
        <w:pStyle w:val="Heading2"/>
      </w:pPr>
      <w:r>
        <w:t xml:space="preserve">Top Drivers of Attrition</w:t>
      </w:r>
    </w:p>
    <w:p>
      <w:pPr>
        <w:pStyle w:val="ListParagraph"/>
        <w:numPr>
          <w:ilvl w:val="0"/>
          <w:numId w:val="3"/>
        </w:numPr>
        <w:spacing w:after="40"/>
      </w:pPr>
      <w:r>
        <w:t xml:space="preserve">Working overtime</w:t>
      </w:r>
    </w:p>
    <w:p>
      <w:pPr>
        <w:pStyle w:val="ListParagraph"/>
        <w:numPr>
          <w:ilvl w:val="0"/>
          <w:numId w:val="3"/>
        </w:numPr>
        <w:spacing w:after="40"/>
      </w:pPr>
      <w:r>
        <w:t xml:space="preserve">Frequent business travel</w:t>
      </w:r>
    </w:p>
    <w:p>
      <w:pPr>
        <w:pStyle w:val="ListParagraph"/>
        <w:numPr>
          <w:ilvl w:val="0"/>
          <w:numId w:val="3"/>
        </w:numPr>
        <w:spacing w:after="120"/>
      </w:pPr>
      <w:r>
        <w:t xml:space="preserve">Specific job roles (especially Sales Representative and Laboratory Technician)</w:t>
      </w:r>
    </w:p>
    <w:p>
      <w:pPr>
        <w:pStyle w:val="Heading2"/>
      </w:pPr>
      <w:r>
        <w:t xml:space="preserve">Business Recommendations</w:t>
      </w:r>
    </w:p>
    <w:p>
      <w:pPr>
        <w:pStyle w:val="ListParagraph"/>
        <w:numPr>
          <w:ilvl w:val="0"/>
          <w:numId w:val="4"/>
        </w:numPr>
        <w:spacing w:after="60"/>
      </w:pPr>
      <w:r>
        <w:rPr>
          <w:b/>
          <w:bCs/>
        </w:rPr>
        <w:t xml:space="preserve">Audit and rebalance overtime, starting with Sales. </w:t>
      </w:r>
      <w:r>
        <w:t xml:space="preserve">Investigate whether Sales Representative workloads or quota structures are driving excessive overtime, and consider redistributing workload or adjusting quotas for this specific role.</w:t>
      </w:r>
    </w:p>
    <w:p>
      <w:pPr>
        <w:pStyle w:val="ListParagraph"/>
        <w:numPr>
          <w:ilvl w:val="0"/>
          <w:numId w:val="4"/>
        </w:numPr>
        <w:spacing w:after="120"/>
      </w:pPr>
      <w:r>
        <w:rPr>
          <w:b/>
          <w:bCs/>
        </w:rPr>
        <w:t xml:space="preserve">Launch a structured “first 3 years” retention program. </w:t>
      </w:r>
      <w:r>
        <w:t xml:space="preserve">Add scheduled manager check-ins at the 6-month, 1-year, and 2-year marks to catch dissatisfaction early, rather than relying on annual reviews alone.</w:t>
      </w:r>
    </w:p>
    <w:p>
      <w:pPr>
        <w:pStyle w:val="Heading2"/>
      </w:pPr>
      <w:r>
        <w:t xml:space="preserve">A Limitation to Keep in Mind</w:t>
      </w:r>
    </w:p>
    <w:p>
      <w:pPr>
        <w:spacing w:after="40"/>
      </w:pPr>
      <w:r>
        <w:t>This model identifies patterns associated with attrition, but it cannot prove that changing one factor (e.g., reducing overtime) will cause attrition to drop by a specific amount. I recommend piloting any policy change with a small group before rolling it out company-wide.</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6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4E79"/>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2026-06-27T05:33:48.341Z</dcterms:created>
  <dcterms:modified xsi:type="dcterms:W3CDTF">2026-06-27T05:33:48.341Z</dcterms:modified>
</cp:coreProperties>
</file>

<file path=docProps/custom.xml><?xml version="1.0" encoding="utf-8"?>
<Properties xmlns="http://schemas.openxmlformats.org/officeDocument/2006/custom-properties" xmlns:vt="http://schemas.openxmlformats.org/officeDocument/2006/docPropsVTypes"/>
</file>