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rFonts w:ascii="Calibri" w:cs="Calibri" w:eastAsia="Calibri" w:hAnsi="Calibri"/>
          <w:b/>
          <w:bCs/>
          <w:color w:val="1F77B4"/>
          <w:sz w:val="16"/>
          <w:szCs w:val="16"/>
        </w:rPr>
        <w:t xml:space="preserve">SUPERSTORE SALES FORECASTING &amp; DEMAND INTELLIGENCE</w:t>
      </w:r>
    </w:p>
    <w:p>
      <w:pPr>
        <w:pBdr>
          <w:bottom w:val="single" w:color="1B2735" w:sz="10" w:space="6"/>
        </w:pBdr>
        <w:spacing w:after="140"/>
      </w:pPr>
      <w:r>
        <w:rPr>
          <w:rFonts w:ascii="Calibri" w:cs="Calibri" w:eastAsia="Calibri" w:hAnsi="Calibri"/>
          <w:b/>
          <w:bCs/>
          <w:color w:val="1B2735"/>
          <w:sz w:val="36"/>
          <w:szCs w:val="36"/>
        </w:rPr>
        <w:t xml:space="preserve">Executive Business Report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475569"/>
          <w:sz w:val="18"/>
          <w:szCs w:val="18"/>
        </w:rPr>
        <w:t xml:space="preserve">Prepared for: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Head of Supply Chain &amp; Chief Financial Officer     </w:t>
      </w:r>
      <w:r>
        <w:rPr>
          <w:rFonts w:ascii="Calibri" w:cs="Calibri" w:eastAsia="Calibri" w:hAnsi="Calibri"/>
          <w:b/>
          <w:bCs/>
          <w:color w:val="475569"/>
          <w:sz w:val="18"/>
          <w:szCs w:val="18"/>
        </w:rPr>
        <w:t xml:space="preserve">|  Data through: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December 2018 (4 years of order history)</w:t>
      </w:r>
    </w:p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Executive Summary</w:t>
      </w:r>
    </w:p>
    <w:p>
      <w:pPr>
        <w:spacing w:after="100" w:line="258"/>
      </w:pPr>
      <w:r>
        <w:rPr>
          <w:rFonts w:ascii="Calibri" w:cs="Calibri" w:eastAsia="Calibri" w:hAnsi="Calibri"/>
          <w:i w:val="false"/>
          <w:iCs w:val="false"/>
          <w:color w:val="1F2937"/>
          <w:sz w:val="19"/>
          <w:szCs w:val="19"/>
        </w:rPr>
        <w:t xml:space="preserve">Sales have grown steadily over the past four years — up about 51% — but that growth is uneven: a strong November/December holiday surge and a smaller September peak account for most of the swing, and a handful of very large, one-off equipment orders (copiers, industrial printers) can make an ordinary week look unusually busy. Looking ahead to the first quarter of 2019, we expect total monthly sales in the $31,000–$47,000 range, roughly in line with prior first quarters, though the historical pattern means any given month could still land well outside that band if a large order comes through. Three things are worth acting on now: the East region is growing consistently faster than the rest of the business and deserves more stocking priority; a small set of high-value equipment items should move to a lean, made-to-order inventory model instead of being stocked like everyday items; and roughly a third of our product sub-categories are stable enough to run on simple automatic reordering, freeing up planning time for the products that actually need it.</w:t>
      </w:r>
    </w:p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Key Findings from Data Analysis &amp; Forecasting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Revenue mix: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Technology is the single largest revenue category at 36.6% of total sales; the East region shows the most consistent year-over-year growth of any region, growing every year with the least volatility.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Seasonality: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November, September, and December consistently rank as the strongest-selling months across all four years — this is a reliable, repeating pattern, not a one-time event, and should anchor annual stocking and staffing plans.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Fulfillment: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Shipping takes about 4 days on average and this is essentially the same across all four regions (within an hour or two of each other) — shipping delay is not a lever that explains regional performance differences.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Forecast accuracy: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We tested three forecasting approaches (a classical statistical model, Facebook's Prophet, and a machine-learning model) on three months of held-out real data. The machine-learning model (XGBoost) was the most accurate, off by an average of 17.4% — modestly better than the statistical model (18.6%) and clearly ahead of Prophet (21.9%). Full methodology is in the accompanying notebook.</w:t>
      </w:r>
    </w:p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Three-Month Sales Forecast (Jan–Mar 2019)</w:t>
      </w:r>
    </w:p>
    <w:p>
      <w:pPr>
        <w:spacing w:after="160" w:line="258"/>
      </w:pPr>
      <w:r>
        <w:rPr>
          <w:rFonts w:ascii="Calibri" w:cs="Calibri" w:eastAsia="Calibri" w:hAnsi="Calibri"/>
          <w:i w:val="false"/>
          <w:iCs w:val="false"/>
          <w:color w:val="1F2937"/>
          <w:sz w:val="19"/>
          <w:szCs w:val="19"/>
        </w:rPr>
        <w:t xml:space="preserve">Using our recommended model, we expect total company sales of roughly $43,000 in January, $31,000 in February, and $47,000 in March. Because sales have historically been quite volatile month to month — driven by both the holiday hangover effect in Q1 and the occasional large equipment order — a reasonable planning range runs wider than the point estimate: effectively $0–$80,000 for January, $0–$72,000 for February, and $29,000–$110,000 for March, based on the statistical model's 95% confidence range. In plain terms: treat the point figures as the planning target, but don't be surprised if a given month comes in meaningfully above or below it — that volatility is a real, historically-grounded feature of this business, not forecasting error.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</w:t>
            </w:r>
          </w:p>
        </w:tc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 Forecast</w:t>
            </w:r>
          </w:p>
        </w:tc>
        <w:tc>
          <w:tcPr>
            <w:tcW w:type="dxa" w:w="459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Reasonable Planning Range</w:t>
            </w:r>
          </w:p>
        </w:tc>
      </w:tr>
      <w:tr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January 2019</w:t>
            </w:r>
          </w:p>
        </w:tc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77B4"/>
                <w:sz w:val="16"/>
                <w:szCs w:val="16"/>
              </w:rPr>
              <w:t xml:space="preserve">$43,457</w:t>
            </w:r>
          </w:p>
        </w:tc>
        <w:tc>
          <w:tcPr>
            <w:tcW w:type="dxa" w:w="459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$18,000 – $80,000</w:t>
            </w:r>
          </w:p>
        </w:tc>
      </w:tr>
      <w:tr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February 2019</w:t>
            </w:r>
          </w:p>
        </w:tc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77B4"/>
                <w:sz w:val="16"/>
                <w:szCs w:val="16"/>
              </w:rPr>
              <w:t xml:space="preserve">$31,009</w:t>
            </w:r>
          </w:p>
        </w:tc>
        <w:tc>
          <w:tcPr>
            <w:tcW w:type="dxa" w:w="459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$0 – $72,000</w:t>
            </w:r>
          </w:p>
        </w:tc>
      </w:tr>
      <w:tr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March 2019</w:t>
            </w:r>
          </w:p>
        </w:tc>
        <w:tc>
          <w:tcPr>
            <w:tcW w:type="dxa" w:w="292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77B4"/>
                <w:sz w:val="16"/>
                <w:szCs w:val="16"/>
              </w:rPr>
              <w:t xml:space="preserve">$47,402</w:t>
            </w:r>
          </w:p>
        </w:tc>
        <w:tc>
          <w:tcPr>
            <w:tcW w:type="dxa" w:w="459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$29,000 – $110,000</w:t>
            </w:r>
          </w:p>
        </w:tc>
      </w:tr>
    </w:tbl>
    <w:p>
      <w:pPr>
        <w:spacing w:after="60" w:line="258"/>
      </w:pPr>
      <w:r>
        <w:rPr>
          <w:rFonts w:ascii="Calibri" w:cs="Calibri" w:eastAsia="Calibri" w:hAnsi="Calibri"/>
          <w:i/>
          <w:iCs/>
          <w:color w:val="1F2937"/>
          <w:sz w:val="19"/>
          <w:szCs w:val="19"/>
        </w:rPr>
        <w:t xml:space="preserve">Point forecasts use our recommended model (XGBoost); planning ranges use the statistical model's (SARIMA) 95% confidence interval as the best available estimate of month-to-month uncertainty.</w:t>
      </w:r>
    </w:p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Top Anomalies Detected &amp; Likely Cause</w:t>
      </w:r>
    </w:p>
    <w:p>
      <w:pPr>
        <w:spacing w:after="120" w:line="258"/>
      </w:pPr>
      <w:r>
        <w:rPr>
          <w:rFonts w:ascii="Calibri" w:cs="Calibri" w:eastAsia="Calibri" w:hAnsi="Calibri"/>
          <w:i w:val="false"/>
          <w:iCs w:val="false"/>
          <w:color w:val="1F2937"/>
          <w:sz w:val="19"/>
          <w:szCs w:val="19"/>
        </w:rPr>
        <w:t xml:space="preserve">Two independent detection methods (an isolation-based ML model and a statistical outlier test) were run on weekly sales; 11 weeks were flagged by both. We traced each flagged week back to the actual orders behind it rather than guessing at a cause.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6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52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Happened</w:t>
            </w:r>
          </w:p>
        </w:tc>
        <w:tc>
          <w:tcPr>
            <w:tcW w:type="dxa" w:w="3758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Likely Cause</w:t>
            </w:r>
          </w:p>
        </w:tc>
      </w:tr>
      <w:tr>
        <w:tc>
          <w:tcPr>
            <w:tcW w:type="dxa" w:w="146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Mar 22, 2015</w:t>
            </w:r>
          </w:p>
        </w:tc>
        <w:tc>
          <w:tcPr>
            <w:tcW w:type="dxa" w:w="52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Sales spiked to $37,700, the largest weekly anomaly in the dataset.</w:t>
            </w:r>
          </w:p>
        </w:tc>
        <w:tc>
          <w:tcPr>
            <w:tcW w:type="dxa" w:w="3758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 single $23,661 Cisco TelePresence videoconferencing order — 63% of that week's total.</w:t>
            </w:r>
          </w:p>
        </w:tc>
      </w:tr>
      <w:tr>
        <w:tc>
          <w:tcPr>
            <w:tcW w:type="dxa" w:w="146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Oct 8, 2017</w:t>
            </w:r>
          </w:p>
        </w:tc>
        <w:tc>
          <w:tcPr>
            <w:tcW w:type="dxa" w:w="52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Sales spiked to $28,400.</w:t>
            </w:r>
          </w:p>
        </w:tc>
        <w:tc>
          <w:tcPr>
            <w:tcW w:type="dxa" w:w="3758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 single $18,337 Canon imageCLASS copier order — 65% of that week's total. This exact SKU also drove separate spikes in May 2017 and March 2018.</w:t>
            </w:r>
          </w:p>
        </w:tc>
      </w:tr>
      <w:tr>
        <w:tc>
          <w:tcPr>
            <w:tcW w:type="dxa" w:w="146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Dec 16, 2018</w:t>
            </w:r>
          </w:p>
        </w:tc>
        <w:tc>
          <w:tcPr>
            <w:tcW w:type="dxa" w:w="522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Sales dropped to $11,500, a locally unusual low.</w:t>
            </w:r>
          </w:p>
        </w:tc>
        <w:tc>
          <w:tcPr>
            <w:tcW w:type="dxa" w:w="3758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Not a real slowdown — it directly follows the Nov/Dec holiday surge, so it only looks low next to an unusually strong recent baseline.</w:t>
            </w:r>
          </w:p>
        </w:tc>
      </w:tr>
    </w:tbl>
    <w:p>
      <w:pPr>
        <w:spacing w:after="60" w:line="258"/>
      </w:pPr>
      <w:r>
        <w:rPr>
          <w:rFonts w:ascii="Calibri" w:cs="Calibri" w:eastAsia="Calibri" w:hAnsi="Calibri"/>
          <w:i w:val="false"/>
          <w:iCs w:val="false"/>
          <w:color w:val="1F2937"/>
          <w:sz w:val="19"/>
          <w:szCs w:val="19"/>
        </w:rPr>
        <w:t xml:space="preserve">Nine of the eleven flagged weeks share the same pattern: a single large enterprise equipment order (copier, printer, or similar) driving 20–65% of that week's total. This is a recurring, genuine demand pattern — not noise — and is reflected in the segmentation findings below.</w:t>
      </w:r>
    </w:p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Product Demand Segments &amp; Stocking Strategy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313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Examples</w:t>
            </w:r>
          </w:p>
        </w:tc>
        <w:tc>
          <w:tcPr>
            <w:tcW w:type="dxa" w:w="48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B27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Recommended Stocking Strategy</w:t>
            </w:r>
          </w:p>
        </w:tc>
      </w:tr>
      <w:tr>
        <w:tc>
          <w:tcPr>
            <w:tcW w:type="dxa" w:w="250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High Volume, Volatile Demand (6 sub-categories)</w:t>
            </w:r>
          </w:p>
        </w:tc>
        <w:tc>
          <w:tcPr>
            <w:tcW w:type="dxa" w:w="313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Chairs, Phones, Storage, Binders, Tables, Accessories</w:t>
            </w:r>
          </w:p>
        </w:tc>
        <w:tc>
          <w:tcPr>
            <w:tcW w:type="dxa" w:w="48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Core revenue drivers with real week-to-week swings — keep higher safety stock than average volume alone would suggest.</w:t>
            </w:r>
          </w:p>
        </w:tc>
      </w:tr>
      <w:tr>
        <w:tc>
          <w:tcPr>
            <w:tcW w:type="dxa" w:w="250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High-Value, Low-Frequency Bulk Equipment (2 sub-categories)</w:t>
            </w:r>
          </w:p>
        </w:tc>
        <w:tc>
          <w:tcPr>
            <w:tcW w:type="dxa" w:w="313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Copiers, Machines</w:t>
            </w:r>
          </w:p>
        </w:tc>
        <w:tc>
          <w:tcPr>
            <w:tcW w:type="dxa" w:w="48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This is the segment behind most of the anomalies above. Switch to lean / made-to-order inventory rather than stocking against average demand — holding capital in slow-moving expensive units costs more than a short fulfillment delay.</w:t>
            </w:r>
          </w:p>
        </w:tc>
      </w:tr>
      <w:tr>
        <w:tc>
          <w:tcPr>
            <w:tcW w:type="dxa" w:w="250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Growing Demand (1 sub-category)</w:t>
            </w:r>
          </w:p>
        </w:tc>
        <w:tc>
          <w:tcPr>
            <w:tcW w:type="dxa" w:w="313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Supplies</w:t>
            </w:r>
          </w:p>
        </w:tc>
        <w:tc>
          <w:tcPr>
            <w:tcW w:type="dxa" w:w="48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Worth watching over the next few quarters to confirm this is a real trend rather than a low prior-year base — increase stock ahead of demand only once confirmed.</w:t>
            </w:r>
          </w:p>
        </w:tc>
      </w:tr>
      <w:tr>
        <w:tc>
          <w:tcPr>
            <w:tcW w:type="dxa" w:w="250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Low Volume, Stable Demand (8 sub-categories)</w:t>
            </w:r>
          </w:p>
        </w:tc>
        <w:tc>
          <w:tcPr>
            <w:tcW w:type="dxa" w:w="313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Art, Paper, Labels, Envelopes, Fasteners, and others</w:t>
            </w:r>
          </w:p>
        </w:tc>
        <w:tc>
          <w:tcPr>
            <w:tcW w:type="dxa" w:w="480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8FA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Predictable and low-risk. Standard automatic reorder-point management is sufficient — this is not where planning time should be spent.</w:t>
            </w:r>
          </w:p>
        </w:tc>
      </w:tr>
    </w:tbl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Business Recommendations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1. Increase investment in the East region.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The East region grew in every one of the last three years with the lowest volatility of any region, and our forecast projects +30.8% year-over-year growth for Q1 2019 versus Q1 2018 — the strongest of any segment tested. Consider prioritizing East for additional stocking depth and marketing spend ahead of Q1.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2. Right-size inventory for bulk equipment.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Nine of eleven detected weekly sales anomalies were single large orders for copiers, printers, and similar equipment (20–65% of that week's total each time), and this segment clustered distinctly in our demand analysis. Move Copiers and Machines to a made-to-order or drop-ship model rather than holding standing inventory against average demand.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b/>
          <w:bCs/>
          <w:color w:val="1B2735"/>
          <w:sz w:val="19"/>
          <w:szCs w:val="19"/>
        </w:rPr>
        <w:t xml:space="preserve">3. Simplify planning for stable, low-priority items.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Eight of seventeen product sub-categories (47%) fell into the “Low Volume, Stable Demand” segment, where a full forecasting/monitoring effort is unnecessary. Move these to simple automatic reorder-point rules and redirect planning attention to the volatile, high-value segments where it has real impact.</w:t>
      </w:r>
    </w:p>
    <w:p>
      <w:pPr>
        <w:pBdr>
          <w:bottom w:val="single" w:color="1F77B4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F77B4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B2735"/>
          <w:sz w:val="21"/>
          <w:szCs w:val="21"/>
        </w:rPr>
        <w:t xml:space="preserve">Risk &amp; Limitation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tcBorders>
              <w:top w:val="single" w:color="EEF2F7" w:sz="2"/>
              <w:left w:val="single" w:color="D62728" w:sz="24"/>
              <w:bottom w:val="single" w:color="EEF2F7" w:sz="2"/>
              <w:right w:val="single" w:color="EEF2F7" w:sz="2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735"/>
                <w:sz w:val="18"/>
                <w:szCs w:val="18"/>
              </w:rPr>
              <w:t xml:space="preserve">Limited history constrains forecast precision</w:t>
            </w:r>
          </w:p>
          <w:p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This analysis is built on 48 months of data — enough to establish a clear seasonal pattern, but not enough for any model to be highly precise (our best model is still off by about 17% on average, and the Q1 2019 confidence ranges above are wide). The forecast should be treated as a planning guide, refreshed as new months of actuals arrive, rather than a precise commitment — and re-checked in 6–12 months once more data can meaningfully tighten these ranges.</w:t>
            </w:r>
          </w:p>
        </w:tc>
      </w:tr>
    </w:tbl>
    <w:p>
      <w:pPr>
        <w:pBdr>
          <w:top w:val="single" w:color="D1D5DB" w:sz="4" w:space="6"/>
        </w:pBdr>
        <w:spacing w:before="300"/>
      </w:pP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Full methodology, code, and charts are available in the accompanying analysis notebook and interactive dashboard.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2026-07-12T01:59:08.993Z</dcterms:created>
  <dcterms:modified xsi:type="dcterms:W3CDTF">2026-07-12T01:59:08.993Z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