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A17F8">
      <w:pPr>
        <w:spacing w:after="80"/>
        <w:jc w:val="center"/>
      </w:pPr>
      <w:r>
        <w:rPr>
          <w:rFonts w:hint="eastAsia" w:ascii="Arial" w:hAnsi="Arial" w:eastAsia="黑体"/>
          <w:b/>
          <w:color w:val="000000"/>
          <w:sz w:val="40"/>
          <w:lang w:val="en-US" w:eastAsia="zh-CN"/>
        </w:rPr>
        <w:t>留</w:t>
      </w:r>
      <w:bookmarkStart w:id="0" w:name="_GoBack"/>
      <w:bookmarkEnd w:id="0"/>
      <w:r>
        <w:rPr>
          <w:rFonts w:ascii="Arial" w:hAnsi="Arial" w:eastAsia="黑体"/>
          <w:b/>
          <w:color w:val="000000"/>
          <w:sz w:val="40"/>
        </w:rPr>
        <w:t>量出海（liuliangchuhai）项目进度报告</w:t>
      </w:r>
    </w:p>
    <w:p w14:paraId="13052D2B">
      <w:pPr>
        <w:spacing w:after="360"/>
        <w:jc w:val="center"/>
      </w:pPr>
      <w:r>
        <w:rPr>
          <w:rFonts w:ascii="Arial" w:hAnsi="Arial" w:eastAsia="宋体"/>
          <w:color w:val="666666"/>
          <w:sz w:val="19"/>
        </w:rPr>
        <w:t>面向东盟市场的广西特产 AI 选品与内容策划平台 ｜ 报告日期：2026 年 9 月 5 日</w:t>
      </w:r>
    </w:p>
    <w:p w14:paraId="134B39EC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一、项目概述</w:t>
      </w:r>
    </w:p>
    <w:p w14:paraId="2F5C4D31">
      <w:pPr>
        <w:ind w:firstLine="420"/>
      </w:pPr>
      <w:r>
        <w:t>本项目是一个面向广西本地特产开拓东盟市场的 AI 辅助市场策略演示系统。用户可浏览演示商品，对指定目标国家生成市场契合度分析，再由分析结果延伸出一份可用于社交媒体投放的内容策划方案。</w:t>
      </w:r>
    </w:p>
    <w:p w14:paraId="04B80A69">
      <w:pPr>
        <w:ind w:firstLine="420"/>
      </w:pPr>
      <w:r>
        <w:t>系统当前定位为可完整演示的原型（demo）。默认无需任何 API Key 即可运行全流程，接入 DeepSeek 后可产出真实的市场分析；内容策划部分目前仍为确定性的示例数据，尚未接入真实的生成式媒体与翻译能力。分析评分与 AI 结论均为策划参考建议，需独立验证后方可作为决策依据。</w:t>
      </w:r>
    </w:p>
    <w:p w14:paraId="6106BC83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二、技术架构</w:t>
      </w:r>
    </w:p>
    <w:p w14:paraId="52F6473A">
      <w:pPr>
        <w:ind w:firstLine="420"/>
      </w:pPr>
      <w:r>
        <w:t>后端 FastAPI（Python 3.12+，uv 管理依赖），前端 Next.js（Node.js 22，pnpm）。整体采用分层架构，依赖方向严格向内收敛：</w:t>
      </w:r>
    </w:p>
    <w:p w14:paraId="5A2FFE97">
      <w:pPr>
        <w:pStyle w:val="16"/>
        <w:spacing w:after="80" w:line="360" w:lineRule="auto"/>
        <w:ind w:left="420"/>
      </w:pPr>
      <w:r>
        <w:t>domain：与框架无关的领域值对象与业务约束</w:t>
      </w:r>
    </w:p>
    <w:p w14:paraId="0D5726A7">
      <w:pPr>
        <w:pStyle w:val="16"/>
        <w:spacing w:after="80" w:line="360" w:lineRule="auto"/>
        <w:ind w:left="420"/>
      </w:pPr>
      <w:r>
        <w:t>application：用例与端口（Port）定义，仅向内依赖</w:t>
      </w:r>
    </w:p>
    <w:p w14:paraId="6B1D51F3">
      <w:pPr>
        <w:pStyle w:val="16"/>
        <w:spacing w:after="80" w:line="360" w:lineRule="auto"/>
        <w:ind w:left="420"/>
      </w:pPr>
      <w:r>
        <w:t>infrastructure / presentation：外部系统适配器与 HTTP 映射</w:t>
      </w:r>
    </w:p>
    <w:p w14:paraId="46CDC1E8">
      <w:pPr>
        <w:pStyle w:val="16"/>
        <w:spacing w:after="80" w:line="360" w:lineRule="auto"/>
        <w:ind w:left="420"/>
      </w:pPr>
      <w:r>
        <w:t>bootstrap：唯一的组合根（composition root）</w:t>
      </w:r>
    </w:p>
    <w:p w14:paraId="0DA3269D">
      <w:pPr>
        <w:ind w:firstLine="420"/>
      </w:pPr>
      <w:r>
        <w:t>分层边界由可执行的导入检查（import linter）强制约束，架构违规会在质量门禁中直接失败，不依赖人工评审保证。</w:t>
      </w:r>
    </w:p>
    <w:p w14:paraId="48342E1C">
      <w:pPr>
        <w:ind w:firstLine="420"/>
      </w:pPr>
      <w:r>
        <w:t>外部能力统一抽象为 application 层持有的端口，并配套确定性 Mock 适配器，使测试与默认演示路径无需任何外部凭证或第三方服务可用性。</w:t>
      </w:r>
    </w:p>
    <w:p w14:paraId="7B2E7DB3">
      <w:pPr>
        <w:ind w:firstLine="420"/>
      </w:pPr>
      <w:r>
        <w:t>API 契约以 FastAPI / Pydantic schema 为唯一事实源，经 OpenAPI 生成前端 TypeScript 客户端代码并提交入库以供评审。生成物禁止手工修改，质量门禁会检测契约漂移。</w:t>
      </w:r>
    </w:p>
    <w:p w14:paraId="0C1288FF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三、已完成的工作</w:t>
      </w:r>
    </w:p>
    <w:p w14:paraId="6ACBCF63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3.1 后端能力</w:t>
      </w:r>
    </w:p>
    <w:p w14:paraId="66C7CC35">
      <w:pPr>
        <w:ind w:firstLine="420"/>
      </w:pPr>
      <w:r>
        <w:t>已建成 8 个用例，覆盖商品读取、市场分析、内容策划与数字人生成四条链路：</w:t>
      </w:r>
    </w:p>
    <w:p w14:paraId="24435668">
      <w:pPr>
        <w:pStyle w:val="16"/>
        <w:spacing w:after="80" w:line="360" w:lineRule="auto"/>
        <w:ind w:left="420"/>
      </w:pPr>
      <w:r>
        <w:t>商品：list_products、get_product</w:t>
      </w:r>
    </w:p>
    <w:p w14:paraId="559D3485">
      <w:pPr>
        <w:pStyle w:val="16"/>
        <w:spacing w:after="80" w:line="360" w:lineRule="auto"/>
        <w:ind w:left="420"/>
      </w:pPr>
      <w:r>
        <w:t>市场分析：analyze_product、analyze_product_by_id</w:t>
      </w:r>
    </w:p>
    <w:p w14:paraId="1EDE3604">
      <w:pPr>
        <w:pStyle w:val="16"/>
        <w:spacing w:after="80" w:line="360" w:lineRule="auto"/>
        <w:ind w:left="420"/>
      </w:pPr>
      <w:r>
        <w:t>内容策划：create_content_plan、create_content_plan_by_id</w:t>
      </w:r>
    </w:p>
    <w:p w14:paraId="6EF9B742">
      <w:pPr>
        <w:pStyle w:val="16"/>
        <w:spacing w:after="80" w:line="360" w:lineRule="auto"/>
        <w:ind w:left="420"/>
      </w:pPr>
      <w:r>
        <w:t>数字人：generate_digital_human</w:t>
      </w:r>
    </w:p>
    <w:p w14:paraId="233C36A4">
      <w:pPr>
        <w:pStyle w:val="16"/>
        <w:spacing w:after="80" w:line="360" w:lineRule="auto"/>
        <w:ind w:left="420"/>
      </w:pPr>
      <w:r>
        <w:t>系统状态：get_system_status</w:t>
      </w:r>
    </w:p>
    <w:p w14:paraId="3992DDE4">
      <w:r>
        <w:t>对外暴露 4 个 HTTP 接口：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9D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C0D353">
            <w:r>
              <w:rPr>
                <w:rFonts w:ascii="Arial" w:hAnsi="Arial" w:eastAsia="黑体"/>
                <w:b/>
                <w:color w:val="000000"/>
                <w:sz w:val="20"/>
              </w:rPr>
              <w:t>方法</w:t>
            </w:r>
          </w:p>
        </w:tc>
        <w:tc>
          <w:tcPr>
            <w:tcW w:w="2880" w:type="dxa"/>
          </w:tcPr>
          <w:p w14:paraId="6411BF54">
            <w:r>
              <w:rPr>
                <w:rFonts w:ascii="Arial" w:hAnsi="Arial" w:eastAsia="黑体"/>
                <w:b/>
                <w:color w:val="000000"/>
                <w:sz w:val="20"/>
              </w:rPr>
              <w:t>路径</w:t>
            </w:r>
          </w:p>
        </w:tc>
        <w:tc>
          <w:tcPr>
            <w:tcW w:w="2880" w:type="dxa"/>
          </w:tcPr>
          <w:p w14:paraId="6CDCE9D2">
            <w:r>
              <w:rPr>
                <w:rFonts w:ascii="Arial" w:hAnsi="Arial" w:eastAsia="黑体"/>
                <w:b/>
                <w:color w:val="000000"/>
                <w:sz w:val="20"/>
              </w:rPr>
              <w:t>说明</w:t>
            </w:r>
          </w:p>
        </w:tc>
      </w:tr>
      <w:tr w14:paraId="5C72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D42E1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GET</w:t>
            </w:r>
          </w:p>
        </w:tc>
        <w:tc>
          <w:tcPr>
            <w:tcW w:w="2880" w:type="dxa"/>
          </w:tcPr>
          <w:p w14:paraId="210FCC16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/products</w:t>
            </w:r>
          </w:p>
        </w:tc>
        <w:tc>
          <w:tcPr>
            <w:tcW w:w="2880" w:type="dxa"/>
          </w:tcPr>
          <w:p w14:paraId="335D0C72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演示商品列表</w:t>
            </w:r>
          </w:p>
        </w:tc>
      </w:tr>
      <w:tr w14:paraId="4F07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262840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GET</w:t>
            </w:r>
          </w:p>
        </w:tc>
        <w:tc>
          <w:tcPr>
            <w:tcW w:w="2880" w:type="dxa"/>
          </w:tcPr>
          <w:p w14:paraId="5307CEF5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/products/{product_id}</w:t>
            </w:r>
          </w:p>
        </w:tc>
        <w:tc>
          <w:tcPr>
            <w:tcW w:w="2880" w:type="dxa"/>
          </w:tcPr>
          <w:p w14:paraId="425F9490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单个商品详情</w:t>
            </w:r>
          </w:p>
        </w:tc>
      </w:tr>
      <w:tr w14:paraId="35D2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90B31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POST</w:t>
            </w:r>
          </w:p>
        </w:tc>
        <w:tc>
          <w:tcPr>
            <w:tcW w:w="2880" w:type="dxa"/>
          </w:tcPr>
          <w:p w14:paraId="37396EA1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商品分析接口</w:t>
            </w:r>
          </w:p>
        </w:tc>
        <w:tc>
          <w:tcPr>
            <w:tcW w:w="2880" w:type="dxa"/>
          </w:tcPr>
          <w:p w14:paraId="121A79CD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生成市场契合度分析</w:t>
            </w:r>
          </w:p>
        </w:tc>
      </w:tr>
      <w:tr w14:paraId="67CA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5C0E9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POST</w:t>
            </w:r>
          </w:p>
        </w:tc>
        <w:tc>
          <w:tcPr>
            <w:tcW w:w="2880" w:type="dxa"/>
          </w:tcPr>
          <w:p w14:paraId="3615D9F9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内容策划接口</w:t>
            </w:r>
          </w:p>
        </w:tc>
        <w:tc>
          <w:tcPr>
            <w:tcW w:w="2880" w:type="dxa"/>
          </w:tcPr>
          <w:p w14:paraId="01F00B10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由分析结果生成内容方案</w:t>
            </w:r>
          </w:p>
        </w:tc>
      </w:tr>
      <w:tr w14:paraId="2769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6B3EBB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GET</w:t>
            </w:r>
          </w:p>
        </w:tc>
        <w:tc>
          <w:tcPr>
            <w:tcW w:w="2880" w:type="dxa"/>
          </w:tcPr>
          <w:p w14:paraId="2C793609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/health</w:t>
            </w:r>
          </w:p>
        </w:tc>
        <w:tc>
          <w:tcPr>
            <w:tcW w:w="2880" w:type="dxa"/>
          </w:tcPr>
          <w:p w14:paraId="3B8B400A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服务与各 Provider 可用性</w:t>
            </w:r>
          </w:p>
        </w:tc>
      </w:tr>
    </w:tbl>
    <w:p w14:paraId="091B14B7">
      <w:pPr>
        <w:spacing w:after="40"/>
      </w:pPr>
    </w:p>
    <w:p w14:paraId="1CCA9D73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3.2 LLM 接入（DeepSeek）</w:t>
      </w:r>
    </w:p>
    <w:p w14:paraId="30C51E09">
      <w:pPr>
        <w:ind w:firstLine="420"/>
      </w:pPr>
      <w:r>
        <w:t>已完成 DeepSeek 适配器，是目前唯一的真实外部 Provider 实现，也是后续任何新 Provider 的参考模板。其工程化处理包括：</w:t>
      </w:r>
    </w:p>
    <w:p w14:paraId="69A01F3A">
      <w:pPr>
        <w:pStyle w:val="16"/>
        <w:spacing w:after="80" w:line="360" w:lineRule="auto"/>
        <w:ind w:left="420"/>
      </w:pPr>
      <w:r>
        <w:t>超时控制（默认 20 秒，可通过环境变量调整）与有界重试</w:t>
      </w:r>
    </w:p>
    <w:p w14:paraId="3548A52D">
      <w:pPr>
        <w:pStyle w:val="16"/>
        <w:spacing w:after="80" w:line="360" w:lineRule="auto"/>
        <w:ind w:left="420"/>
      </w:pPr>
      <w:r>
        <w:t>错误归一化：超时 / 连接失败 / HTTP 异常统一映射为 LLMUnavailable</w:t>
      </w:r>
    </w:p>
    <w:p w14:paraId="06C43EAE">
      <w:pPr>
        <w:pStyle w:val="16"/>
        <w:spacing w:after="80" w:line="360" w:lineRule="auto"/>
        <w:ind w:left="420"/>
      </w:pPr>
      <w:r>
        <w:t>严格输出校验：格式非法的模型返回映射为 InvalidLLMResponse</w:t>
      </w:r>
    </w:p>
    <w:p w14:paraId="362A517F">
      <w:pPr>
        <w:pStyle w:val="16"/>
        <w:spacing w:after="80" w:line="360" w:lineRule="auto"/>
        <w:ind w:left="420"/>
      </w:pPr>
      <w:r>
        <w:t>配置校验：选择 deepseek 但未提供 API Key 时拒绝启动，密钥以 SecretStr 承载</w:t>
      </w:r>
    </w:p>
    <w:p w14:paraId="2139BCE3">
      <w:pPr>
        <w:ind w:firstLine="420"/>
      </w:pPr>
      <w:r>
        <w:t>已完成真实调用验证：以梧州六堡茶 + 马来西亚为输入，DeepSeek 返回「Caution · 60/100」的分析结论，全流程贯通。</w:t>
      </w:r>
    </w:p>
    <w:p w14:paraId="3021E574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3.3 前端页面</w:t>
      </w:r>
    </w:p>
    <w:p w14:paraId="4D4FCCD0">
      <w:pPr>
        <w:ind w:firstLine="420"/>
      </w:pPr>
      <w:r>
        <w:t>已上线 4 个路由，视觉风格已统一：</w:t>
      </w:r>
    </w:p>
    <w:p w14:paraId="73407C0D">
      <w:pPr>
        <w:pStyle w:val="16"/>
        <w:spacing w:after="80" w:line="360" w:lineRule="auto"/>
        <w:ind w:left="420"/>
      </w:pPr>
      <w:r>
        <w:t>/ 落地页：项目定位与演示入口，含精选商品展示</w:t>
      </w:r>
    </w:p>
    <w:p w14:paraId="6571BAB7">
      <w:pPr>
        <w:pStyle w:val="16"/>
        <w:spacing w:after="80" w:line="360" w:lineRule="auto"/>
        <w:ind w:left="420"/>
      </w:pPr>
      <w:r>
        <w:t>/products 商品目录</w:t>
      </w:r>
    </w:p>
    <w:p w14:paraId="7BE40D7A">
      <w:pPr>
        <w:pStyle w:val="16"/>
        <w:spacing w:after="80" w:line="360" w:lineRule="auto"/>
        <w:ind w:left="420"/>
      </w:pPr>
      <w:r>
        <w:t>/products/[productId] 商品详情，含「分析市场契合度」入口</w:t>
      </w:r>
    </w:p>
    <w:p w14:paraId="38F3A656">
      <w:pPr>
        <w:pStyle w:val="16"/>
        <w:spacing w:after="80" w:line="360" w:lineRule="auto"/>
        <w:ind w:left="420"/>
      </w:pPr>
      <w:r>
        <w:t>/analysis 分析工作台，内容策划亦集成于此页（无独立 /content-plan 页面）</w:t>
      </w:r>
    </w:p>
    <w:p w14:paraId="765E3007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3.4 契约与领域模型</w:t>
      </w:r>
    </w:p>
    <w:p w14:paraId="6889475B">
      <w:pPr>
        <w:pStyle w:val="16"/>
        <w:spacing w:after="80" w:line="360" w:lineRule="auto"/>
        <w:ind w:left="420"/>
      </w:pPr>
      <w:r>
        <w:t>已冻结数字人生成契约：generate() 接口、领域模型及三类错误族</w:t>
      </w:r>
    </w:p>
    <w:p w14:paraId="5A58166B">
      <w:pPr>
        <w:pStyle w:val="16"/>
        <w:spacing w:after="80" w:line="360" w:lineRule="auto"/>
        <w:ind w:left="420"/>
      </w:pPr>
      <w:r>
        <w:t>领域层已建模：product、market_analysis、content_plan、digital_human</w:t>
      </w:r>
    </w:p>
    <w:p w14:paraId="4C87E09F">
      <w:pPr>
        <w:pStyle w:val="16"/>
        <w:spacing w:after="80" w:line="360" w:lineRule="auto"/>
        <w:ind w:left="420"/>
      </w:pPr>
      <w:r>
        <w:t>已定义 5 个应用端口：LLM、内容策划、数字人、商品仓储、系统状态</w:t>
      </w:r>
    </w:p>
    <w:p w14:paraId="37304C6A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3.5 测试与工程化</w:t>
      </w:r>
    </w:p>
    <w:p w14:paraId="712F1F44">
      <w:pPr>
        <w:ind w:firstLine="420"/>
      </w:pPr>
      <w:r>
        <w:t>测试文件共 41 个，分为单元、集成、契约、验收四层，并包含架构约束测试（导入策略、端口归属、分层边界）与 OpenAPI 契约漂移检测。</w:t>
      </w:r>
    </w:p>
    <w:p w14:paraId="1148FDEE">
      <w:pPr>
        <w:ind w:firstLine="420"/>
      </w:pPr>
      <w:r>
        <w:t>已提供跨平台开发脚本 scripts/dev.py（Makefile 作为别名），统一封装 bootstrap / dev / check，质量门禁共 12 个阶段，覆盖格式化、静态检查、类型、架构、测试、前端检查与契约漂移。</w:t>
      </w:r>
    </w:p>
    <w:p w14:paraId="24B485B8">
      <w:pPr>
        <w:ind w:firstLine="420"/>
      </w:pPr>
      <w:r>
        <w:t>README 已完成刷新，含真实 DeepSeek 运行截图与完整演示流程说明。</w:t>
      </w:r>
    </w:p>
    <w:p w14:paraId="189B8D11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3.6 已合入主干的功能批次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21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BAD0DD">
            <w:r>
              <w:rPr>
                <w:rFonts w:ascii="Arial" w:hAnsi="Arial" w:eastAsia="黑体"/>
                <w:b/>
                <w:color w:val="000000"/>
                <w:sz w:val="20"/>
              </w:rPr>
              <w:t>批次</w:t>
            </w:r>
          </w:p>
        </w:tc>
        <w:tc>
          <w:tcPr>
            <w:tcW w:w="4320" w:type="dxa"/>
          </w:tcPr>
          <w:p w14:paraId="522AD0CF">
            <w:r>
              <w:rPr>
                <w:rFonts w:ascii="Arial" w:hAnsi="Arial" w:eastAsia="黑体"/>
                <w:b/>
                <w:color w:val="000000"/>
                <w:sz w:val="20"/>
              </w:rPr>
              <w:t>内容</w:t>
            </w:r>
          </w:p>
        </w:tc>
      </w:tr>
      <w:tr w14:paraId="1A24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C5E3F0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商品基础</w:t>
            </w:r>
          </w:p>
        </w:tc>
        <w:tc>
          <w:tcPr>
            <w:tcW w:w="4320" w:type="dxa"/>
          </w:tcPr>
          <w:p w14:paraId="03E247E7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商品目录与详情页、JSON 商品仓储</w:t>
            </w:r>
          </w:p>
        </w:tc>
      </w:tr>
      <w:tr w14:paraId="3824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51EA2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市场分析</w:t>
            </w:r>
          </w:p>
        </w:tc>
        <w:tc>
          <w:tcPr>
            <w:tcW w:w="4320" w:type="dxa"/>
          </w:tcPr>
          <w:p w14:paraId="45127392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分析用例、接口与前端工作台</w:t>
            </w:r>
          </w:p>
        </w:tc>
      </w:tr>
      <w:tr w14:paraId="137B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4BBCA3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内容策划</w:t>
            </w:r>
          </w:p>
        </w:tc>
        <w:tc>
          <w:tcPr>
            <w:tcW w:w="4320" w:type="dxa"/>
          </w:tcPr>
          <w:p w14:paraId="3DA79802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内容策划契约与演示流程</w:t>
            </w:r>
          </w:p>
        </w:tc>
      </w:tr>
      <w:tr w14:paraId="7339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5F1B5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完整演示流程</w:t>
            </w:r>
          </w:p>
        </w:tc>
        <w:tc>
          <w:tcPr>
            <w:tcW w:w="4320" w:type="dxa"/>
          </w:tcPr>
          <w:p w14:paraId="23D1871A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商品到内容的端到端串联</w:t>
            </w:r>
          </w:p>
        </w:tc>
      </w:tr>
      <w:tr w14:paraId="7FA3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728329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数字人契约</w:t>
            </w:r>
          </w:p>
        </w:tc>
        <w:tc>
          <w:tcPr>
            <w:tcW w:w="4320" w:type="dxa"/>
          </w:tcPr>
          <w:p w14:paraId="2718BDFC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生成接口、领域模型与错误族定义</w:t>
            </w:r>
          </w:p>
        </w:tc>
      </w:tr>
      <w:tr w14:paraId="3621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F67DEC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落地页</w:t>
            </w:r>
          </w:p>
        </w:tc>
        <w:tc>
          <w:tcPr>
            <w:tcW w:w="4320" w:type="dxa"/>
          </w:tcPr>
          <w:p w14:paraId="722E117E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展示型落地页与精选商品</w:t>
            </w:r>
          </w:p>
        </w:tc>
      </w:tr>
      <w:tr w14:paraId="0C5A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DDF6B9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视觉统一</w:t>
            </w:r>
          </w:p>
        </w:tc>
        <w:tc>
          <w:tcPr>
            <w:tcW w:w="4320" w:type="dxa"/>
          </w:tcPr>
          <w:p w14:paraId="328322AC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各演示页面前端风格统一</w:t>
            </w:r>
          </w:p>
        </w:tc>
      </w:tr>
      <w:tr w14:paraId="183D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96DD4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DeepSeek 适配器</w:t>
            </w:r>
          </w:p>
        </w:tc>
        <w:tc>
          <w:tcPr>
            <w:tcW w:w="4320" w:type="dxa"/>
          </w:tcPr>
          <w:p w14:paraId="5BFC4EFD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真实 LLM 接入与工程化处理</w:t>
            </w:r>
          </w:p>
        </w:tc>
      </w:tr>
      <w:tr w14:paraId="31AB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B3A07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文档刷新</w:t>
            </w:r>
          </w:p>
        </w:tc>
        <w:tc>
          <w:tcPr>
            <w:tcW w:w="4320" w:type="dxa"/>
          </w:tcPr>
          <w:p w14:paraId="723FE8D4">
            <w:pPr>
              <w:spacing w:line="312" w:lineRule="auto"/>
            </w:pPr>
            <w:r>
              <w:rPr>
                <w:rFonts w:ascii="Times New Roman" w:hAnsi="Times New Roman" w:eastAsia="宋体"/>
                <w:color w:val="333333"/>
                <w:sz w:val="19"/>
              </w:rPr>
              <w:t>README 演示指引与真实运行截图</w:t>
            </w:r>
          </w:p>
        </w:tc>
      </w:tr>
    </w:tbl>
    <w:p w14:paraId="1E745A49">
      <w:pPr>
        <w:spacing w:after="40"/>
      </w:pPr>
    </w:p>
    <w:p w14:paraId="66CA9804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四、进行中与待办事项</w:t>
      </w:r>
    </w:p>
    <w:p w14:paraId="6C946D88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4.1 进行中</w:t>
      </w:r>
    </w:p>
    <w:p w14:paraId="32CE8438">
      <w:pPr>
        <w:pStyle w:val="16"/>
        <w:spacing w:after="80" w:line="360" w:lineRule="auto"/>
        <w:ind w:left="420"/>
      </w:pPr>
      <w:r>
        <w:t>东盟目标市场快捷选择：/analysis 页面提供越南、泰国、马来西亚、印尼四个快捷按钮，代码已完成，待提交评审</w:t>
      </w:r>
    </w:p>
    <w:p w14:paraId="0FBF3B00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4.2 待办（按依赖关系排序）</w:t>
      </w:r>
    </w:p>
    <w:p w14:paraId="1245C6D9">
      <w:pPr>
        <w:pStyle w:val="16"/>
        <w:spacing w:after="80" w:line="360" w:lineRule="auto"/>
        <w:ind w:left="420"/>
      </w:pPr>
      <w:r>
        <w:t>助手对话契约：端口、路由与错误族尚未建立；前端 /assistant 聊天界面依赖此项，处于阻塞状态</w:t>
      </w:r>
    </w:p>
    <w:p w14:paraId="55DEF047">
      <w:pPr>
        <w:pStyle w:val="16"/>
        <w:spacing w:after="80" w:line="360" w:lineRule="auto"/>
        <w:ind w:left="420"/>
      </w:pPr>
      <w:r>
        <w:t>真实数字人 Provider 适配器：契约已就绪，等待服务商选型确认后实施</w:t>
      </w:r>
    </w:p>
    <w:p w14:paraId="6D5B5CED">
      <w:pPr>
        <w:pStyle w:val="16"/>
        <w:spacing w:after="80" w:line="360" w:lineRule="auto"/>
        <w:ind w:left="420"/>
      </w:pPr>
      <w:r>
        <w:t>将数字人生成接入演示流程：契约已合入，此项已解除阻塞，可以开工</w:t>
      </w:r>
    </w:p>
    <w:p w14:paraId="1019F989">
      <w:pPr>
        <w:pStyle w:val="16"/>
        <w:spacing w:after="80" w:line="360" w:lineRule="auto"/>
        <w:ind w:left="420"/>
      </w:pPr>
      <w:r>
        <w:t>扩充商品目录：在现有 3 款商品基础上再补充 3 至 5 款广西特产</w:t>
      </w:r>
    </w:p>
    <w:p w14:paraId="1E1F7BAC">
      <w:pPr>
        <w:pStyle w:val="16"/>
        <w:spacing w:after="80" w:line="360" w:lineRule="auto"/>
        <w:ind w:left="420"/>
      </w:pPr>
      <w:r>
        <w:t>补充本地演示图片资源，并在商品详情页实现图片画廊（建议在商品扩充之后进行）</w:t>
      </w:r>
    </w:p>
    <w:p w14:paraId="3DDB90BF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五、已知问题与技术债</w:t>
      </w:r>
    </w:p>
    <w:p w14:paraId="25BC63C5">
      <w:pPr>
        <w:ind w:firstLine="420"/>
      </w:pPr>
      <w:r>
        <w:t>以下问题均已定位原因，不影响演示主流程，但需在后续排期中处理：</w:t>
      </w:r>
    </w:p>
    <w:p w14:paraId="1B999154">
      <w:pPr>
        <w:pStyle w:val="16"/>
        <w:spacing w:after="80" w:line="360" w:lineRule="auto"/>
        <w:ind w:left="420"/>
      </w:pPr>
      <w:r>
        <w:t>内容策划端口缺少错误族：是四个端口中唯一没有专属错误分类的，导致路由层只能笼统捕获异常并返回 500，无法区分不可用与输出非法</w:t>
      </w:r>
    </w:p>
    <w:p w14:paraId="7B505F34">
      <w:pPr>
        <w:pStyle w:val="16"/>
        <w:spacing w:after="80" w:line="360" w:lineRule="auto"/>
        <w:ind w:left="420"/>
      </w:pPr>
      <w:r>
        <w:t>内容策划未接入 Provider 选择机制：组合根中仍硬编码为 Mock 适配器，而 LLM 与数字人均已具备 Provider 构建逻辑</w:t>
      </w:r>
    </w:p>
    <w:p w14:paraId="11D1CC96">
      <w:pPr>
        <w:pStyle w:val="16"/>
        <w:spacing w:after="80" w:line="360" w:lineRule="auto"/>
        <w:ind w:left="420"/>
      </w:pPr>
      <w:r>
        <w:t>Mock 适配器契约声明不一致：仅内容策划的 Mock 显式继承其端口</w:t>
      </w:r>
    </w:p>
    <w:p w14:paraId="2A2087CF">
      <w:pPr>
        <w:pStyle w:val="16"/>
        <w:spacing w:after="80" w:line="360" w:lineRule="auto"/>
        <w:ind w:left="420"/>
      </w:pPr>
      <w:r>
        <w:t>商品数据尚显单薄：目前仅 3 款商品，图片字段均为空数组，且缺少多语言字段。面向消费端的多语言内容仍是未覆盖的开放问题</w:t>
      </w:r>
    </w:p>
    <w:p w14:paraId="7F4B19F8">
      <w:pPr>
        <w:pStyle w:val="16"/>
        <w:spacing w:after="80" w:line="360" w:lineRule="auto"/>
        <w:ind w:left="420"/>
      </w:pPr>
      <w:r>
        <w:t>前端测试文件从未真正执行：package.json 中没有 test 脚本，现有 4 个 .test.mjs 文件实际上处于失效状态</w:t>
      </w:r>
    </w:p>
    <w:p w14:paraId="2D5A53CC">
      <w:pPr>
        <w:spacing w:before="200" w:after="120"/>
      </w:pPr>
      <w:r>
        <w:rPr>
          <w:rFonts w:ascii="Arial" w:hAnsi="Arial" w:eastAsia="黑体"/>
          <w:b/>
          <w:color w:val="000000"/>
          <w:sz w:val="23"/>
        </w:rPr>
        <w:t>5.1 Windows 平台已知失败（非代码缺陷）</w:t>
      </w:r>
    </w:p>
    <w:p w14:paraId="338E5CB2">
      <w:pPr>
        <w:ind w:firstLine="420"/>
      </w:pPr>
      <w:r>
        <w:t>在 Windows 上执行完整质量门禁，12 个阶段中 11 个通过，仅契约测试阶段出现 3 个失败 + 3 个错误。两项原因均为既有问题、与业务代码改动无关，且 CI 仅运行 Linux 环境，因此上游未暴露：</w:t>
      </w:r>
    </w:p>
    <w:p w14:paraId="290E2946">
      <w:pPr>
        <w:pStyle w:val="16"/>
        <w:spacing w:after="80" w:line="360" w:lineRule="auto"/>
        <w:ind w:left="420"/>
      </w:pPr>
      <w:r>
        <w:t>网络隔离夹具误伤：其防外部网络调用的守卫会拦截 asyncio 事件循环在 Windows 上自建的本地回环 socket 对，属于守卫范围之外的自身开销</w:t>
      </w:r>
    </w:p>
    <w:p w14:paraId="63DB1B36">
      <w:pPr>
        <w:pStyle w:val="16"/>
        <w:spacing w:after="80" w:line="360" w:lineRule="auto"/>
        <w:ind w:left="420"/>
      </w:pPr>
      <w:r>
        <w:t>3 处测试直接以裸命令名调用 pnpm：在 Windows 上实际为 .cmd 文件，Python 无法直接执行。项目脚本中已有专门的命令解析工具，但这几处测试绕过了它</w:t>
      </w:r>
    </w:p>
    <w:p w14:paraId="44FFE882">
      <w:pPr>
        <w:ind w:firstLine="420"/>
      </w:pPr>
      <w:r>
        <w:t>另外，开发模式下商品详情路由存在 spawn EPERM 报错，但生产构建下 4 个路由均正常返回 200，确认为开发服务器特定问题，非代码缺陷。</w:t>
      </w:r>
    </w:p>
    <w:p w14:paraId="71FFD3BA">
      <w:pPr>
        <w:spacing w:before="320" w:after="120"/>
      </w:pPr>
      <w:r>
        <w:rPr>
          <w:rFonts w:ascii="Arial" w:hAnsi="Arial" w:eastAsia="黑体"/>
          <w:b/>
          <w:color w:val="000000"/>
          <w:sz w:val="28"/>
        </w:rPr>
        <w:t>六、下一阶段建议</w:t>
      </w:r>
    </w:p>
    <w:p w14:paraId="5DD91534">
      <w:pPr>
        <w:ind w:firstLine="420"/>
      </w:pPr>
      <w:r>
        <w:t>商品数据与图片资源一条线（扩充商品 → 补充图片 → 图片画廊）依赖关系清晰、无需等待任何架构决策，可优先推进，且能直接提升演示观感。</w:t>
      </w:r>
    </w:p>
    <w:p w14:paraId="4DC42A99">
      <w:pPr>
        <w:ind w:firstLine="420"/>
      </w:pPr>
      <w:r>
        <w:t>助手对话与真实数字人 Provider 两项涉及对外服务选型与契约设计，建议在契约确认后再排期。内容策划的错误族与 Provider 选择机制，建议与真实内容生成能力的接入一并考虑，避免重复改造。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4" w:lineRule="auto"/>
      </w:pPr>
      <w:r>
        <w:separator/>
      </w:r>
    </w:p>
  </w:footnote>
  <w:footnote w:type="continuationSeparator" w:id="1">
    <w:p>
      <w:pPr>
        <w:spacing w:before="0" w:after="0" w:line="38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BE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84" w:lineRule="auto"/>
    </w:pPr>
    <w:rPr>
      <w:rFonts w:ascii="Times New Roman" w:hAnsi="Times New Roman" w:eastAsia="宋体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640</Words>
  <Characters>979</Characters>
  <Lines>0</Lines>
  <Paragraphs>0</Paragraphs>
  <TotalTime>0</TotalTime>
  <ScaleCrop>false</ScaleCrop>
  <LinksUpToDate>false</LinksUpToDate>
  <CharactersWithSpaces>1029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静夜思</cp:lastModifiedBy>
  <dcterms:modified xsi:type="dcterms:W3CDTF">2026-09-05T05:42:00Z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eyJoZGlkIjoiYzZlODBkNzM3MDQ3YWQwOGQ1ZDJkNjA3MDc0MjcwZTciLCJ1c2VySWQiOiI1Mzc1Mjk3NTgifQ==</vt:lpwstr>
  </property>
  <property fmtid="{D5CDD505-2E9C-101B-9397-08002B2CF9AE}" pid="3" name="KSOProductBuildVer">
    <vt:lpwstr>2052-12.1.0.28488</vt:lpwstr>
  </property>
  <property fmtid="{D5CDD505-2E9C-101B-9397-08002B2CF9AE}" pid="4" name="ICV">
    <vt:lpwstr>DDA5FC79618B403896033DF6565FA6AD_12</vt:lpwstr>
  </property>
</Properties>
</file>